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ed390d7c79feca595056f4361b44032a754e1c0"/>
    <w:p>
      <w:pPr>
        <w:pStyle w:val="Heading1"/>
      </w:pPr>
      <w:r>
        <w:t xml:space="preserve">Static canopy state, structural dynamics, and ecosystem productivity capture distinct dimensions of forest biodiversity across North America</w:t>
      </w:r>
    </w:p>
    <w:bookmarkStart w:id="9" w:name="abstract"/>
    <w:p>
      <w:pPr>
        <w:pStyle w:val="Heading2"/>
      </w:pPr>
      <w:r>
        <w:t xml:space="preserve">Abstract</w:t>
      </w:r>
    </w:p>
    <w:p>
      <w:pPr>
        <w:pStyle w:val="FirstParagraph"/>
      </w:pPr>
      <w:r>
        <w:t xml:space="preserve">Remote sensing is increasingly used to monitor forest biodiversity, but tree diversity is multidimensional, and it remains unclear which remotely sensed signals represent which dimensions of diversity. Here, we investigated how three remote-sensing dimensions — static canopy state (LiDAR structure and spectral indices), structural dynamics (multitemporal LiDAR trends), and ecosystem productivity (satellite and eddy-covariance GPP) — relate to alpha diversity and to the turnover and nestedness components of beta diversity across 26 forested NEON sites spanning temperate to boreal North America (n = 644 alpha plots, 579 beta plots, 12 eco-climatic domains). We found that the dominant signal differed among diversity components. Static canopy structure carried the largest unique share of alpha diversity (semi-partial R² = 0.081; LAI β = +0.40, VCI β = +0.27), whereas spectral greenness was the weakest dimension, informative for alpha only (R² ≈ 0.01). Structural dynamics — a dimension newly observable from repeated airborne LiDAR acquisitions — accounted for the largest unique variance fraction in nestedness, with three interannual trends showing credible Bayesian associations (height-ratio trend β = −0.31; vertical-CV trend +0.20; LAI trend −0.19). Predictor-level models explained little unique variation in compositional turnover, but plots that were more dissimilar in structure or spectra held more dissimilar species (within-site Mantel r ≈ +0.3). Site-level productivity showed a monotonic, hump-free species–energy relationship confirmed by tower GPP (r = +0.59). Our findings indicate that different remote-sensing signals align with the ecological processes associated with different diversity components. We suggest that biodiversity monitoring should match both the sensor and the analytical framing to the diversity dimension of interest.</w:t>
      </w:r>
    </w:p>
    <w:p>
      <w:pPr>
        <w:pStyle w:val="BodyText"/>
      </w:pPr>
      <w:r>
        <w:rPr>
          <w:b/>
          <w:bCs/>
        </w:rPr>
        <w:t xml:space="preserve">Keywords:</w:t>
      </w:r>
      <w:r>
        <w:t xml:space="preserve"> </w:t>
      </w:r>
      <w:r>
        <w:t xml:space="preserve">structural diversity, LiDAR, beta diversity, species–energy relationship, NEON, biodiversity monitoring</w:t>
      </w:r>
    </w:p>
    <w:p>
      <w:r>
        <w:pict>
          <v:rect style="width:0;height:1.5pt" o:hralign="center" o:hrstd="t" o:hr="t"/>
        </w:pict>
      </w:r>
    </w:p>
    <w:bookmarkEnd w:id="9"/>
    <w:bookmarkEnd w:id="10"/>
    <w:bookmarkStart w:id="11" w:name="introduction"/>
    <w:p>
      <w:pPr>
        <w:pStyle w:val="Heading1"/>
      </w:pPr>
      <w:r>
        <w:t xml:space="preserve">1. Introduction</w:t>
      </w:r>
    </w:p>
    <w:p>
      <w:pPr>
        <w:pStyle w:val="FirstParagraph"/>
      </w:pPr>
      <w:r>
        <w:t xml:space="preserve">Remote sensing is now central to plans for monitoring forest biodiversity at regional to continental scales, but a basic observational question remains unresolved: which remotely sensed signals can observe which dimensions of biodiversity? Tree diversity is multidimensional. Local communities differ not only in the number of species they contain (alpha diversity), but also in how species composition changes across space (beta diversity), and these dimensions need not respond to the same ecological processes — or leave the same signature in the canopy properties that sensors measure. Field inventories provide detailed observations of species composition but are necessarily sparse in space, whereas remote sensing offers spatially continuous and repeatable measurements of forest canopies. The central challenge is therefore not whether remote sensing predicts biodiversity, but which dimensions of biodiversity different remotely sensed signals represent, and under which analytical framing each signal becomes visible.</w:t>
      </w:r>
    </w:p>
    <w:p>
      <w:pPr>
        <w:pStyle w:val="BodyText"/>
      </w:pPr>
      <w:r>
        <w:t xml:space="preserve">Remote sensing captures forests through multiple ecological dimensions rather than through a single observation. Static canopy properties describe the current structural and spectral state of vegetation. Repeated observations characterize structural dynamics, reflecting recent growth, mortality, disturbance, and recovery. Ecosystem productivity represents the functional performance of forests through realized carbon uptake. These dimensions correspond broadly to forest state, process, and function, respectively. Although they are partially correlated, each may contain distinct ecological information and therefore contribute differently to explaining biodiversity. We evaluate this proposition across temperate and boreal forests spanning the U.S. National Ecological Observatory Network (NEON).</w:t>
      </w:r>
    </w:p>
    <w:p>
      <w:pPr>
        <w:pStyle w:val="BodyText"/>
      </w:pPr>
      <w:r>
        <w:t xml:space="preserve">Static canopy state has long been the principal remote-sensing window on biodiversity. Airborne LiDAR resolves canopy height, vertical layering, foliage distribution, and gap structure, representing the physical architecture within which tree species partition resources (MacArthur and MacArthur 1961; Bergen et al. 2009; Davies and Asner 2014). Spectral vegetation indices summarize variation in canopy reflectance associated with leaf pigments, water content, and canopy density (Palmer et al. 2002; Rocchini et al. 2010). Although these measurements are frequently combined, they need not provide redundant ecological information. Whether structural and spectral observations provide complementary information, and whether their relative importance differs between alpha and beta diversity, remains incompletely resolved.</w:t>
      </w:r>
    </w:p>
    <w:p>
      <w:pPr>
        <w:pStyle w:val="BodyText"/>
      </w:pPr>
      <w:r>
        <w:t xml:space="preserve">Within NEON specifically, a growing body of work has linked LiDAR-derived canopy structural diversity to forest function and to tree species richness (Gough et al. 2019; LaRue et al. 2019, 2023). These studies established that structural complexity predicts local richness, but they characterized structure at a single point in time, and they focused almost exclusively on alpha diversity. Three questions therefore remain open. First, whether the temporal trajectory of canopy structure — now observable from NEON’s repeated airborne acquisitions — adds biodiversity information beyond the static snapshot has not been tested. Second, how structural and spectral signals partition among the components of beta diversity (species replacement versus richness difference) is unknown, because beta diversity has rarely been decomposed in this context. Third, productivity has typically entered such analyses as vegetation greenness rather than as realized carbon uptake, leaving species–energy inference entangled with canopy density. Our study addresses these three gaps within a single analytical framework.</w:t>
      </w:r>
    </w:p>
    <w:p>
      <w:pPr>
        <w:pStyle w:val="BodyText"/>
      </w:pPr>
      <w:r>
        <w:t xml:space="preserve">The temporal dimension of forest structure has received comparatively less attention in biodiversity studies. Repeated LiDAR observations quantify changes in canopy height, density, vertical organization, and gap formation, thereby distinguishing forests with similar present-day structure but different developmental trajectories. Such trajectories may reflect differences in succession, disturbance history, and structural reorganization that are not captured by static canopy state alone. This possibility is especially relevant because forest succession and disturbance are fundamentally dynamic processes. Younger stands typically undergo rapid structural development, whereas mature forests increasingly experience gap formation and fine-scale structural reorganization (Bormann and Likens 1979; Franklin et al. 2002). We therefore ask whether structural dynamics contribute independent information about biodiversity beyond static canopy state.</w:t>
      </w:r>
    </w:p>
    <w:p>
      <w:pPr>
        <w:pStyle w:val="BodyText"/>
      </w:pPr>
      <w:r>
        <w:t xml:space="preserve">Forest productivity provides a complementary functional perspective. Species–energy theory predicts that greater energy availability can support more individuals and potentially more species (Wright 1983; Currie 1991), yet remote-sensing evaluations have often relied on vegetation greenness as an indirect proxy for productivity. Because greenness reflects canopy density and phenology rather than carbon assimilation itself, we instead use independent estimates of gross primary productivity (GPP) derived from satellite-constrained process models and eddy-covariance observations. Rather than treating productivity as an alternative to structural or spectral information, we evaluate whether realized ecosystem carbon uptake contributes additional information about tree diversity beyond canopy state and dynamics.</w:t>
      </w:r>
    </w:p>
    <w:p>
      <w:pPr>
        <w:pStyle w:val="BodyText"/>
      </w:pPr>
      <w:r>
        <w:t xml:space="preserve">Finally, even if these remote-sensing dimensions capture complementary aspects of biodiversity, their relationships are unlikely to be constant across ecological contexts. Disturbance, surrounding land-use conditions, and stand age influence species turnover, canopy development, and forest structural organization, and may therefore modify how strongly remotely sensed signals correspond to biodiversity. Accounting for such context dependence is essential if remotely sensed biodiversity indicators are to be transferable across heterogeneous forest landscapes.</w:t>
      </w:r>
    </w:p>
    <w:p>
      <w:pPr>
        <w:pStyle w:val="BodyText"/>
      </w:pPr>
      <w:r>
        <w:t xml:space="preserve">Using standardized tree inventories from NEON together with airborne LiDAR, multispectral imagery, repeated LiDAR observations, and independent estimates of GPP, we developed hierarchical models that partition variation across domains, sites, and plots at 26 forested sites from the conterminous United States to interior Alaska (Figure 1). Specifically, we asked: (O1) whether structural and spectral components of static canopy state contribute differently to alpha and beta diversity; (O2) whether structural dynamics provide additional biodiversity information beyond static canopy state; (O3) whether independently estimated ecosystem productivity contributes complementary information, and what form the productivity–diversity relationship takes; and, as a secondary and largely exploratory question, (O4) whether disturbance, surrounding land use, and stand age modify these relationships. We found that the dominant remote-sensing signal differs among diversity components: canopy structure carries the largest unique contribution to alpha diversity, structural dynamics contribute most uniquely to richness difference (nestedness), compositional turnover is tracked only when remote sensing is analysed as between-plot dissimilarity, and independent productivity supports a monotonic species–energy relationship at the site scale.</w:t>
      </w:r>
    </w:p>
    <w:bookmarkEnd w:id="11"/>
    <w:bookmarkStart w:id="17" w:name="methods-and-materials"/>
    <w:p>
      <w:pPr>
        <w:pStyle w:val="Heading1"/>
      </w:pPr>
      <w:r>
        <w:t xml:space="preserve">2. Methods and Materials</w:t>
      </w:r>
    </w:p>
    <w:bookmarkStart w:id="12" w:name="study-sites"/>
    <w:p>
      <w:pPr>
        <w:pStyle w:val="Heading2"/>
      </w:pPr>
      <w:r>
        <w:t xml:space="preserve">2.1 Study sites</w:t>
      </w:r>
    </w:p>
    <w:p>
      <w:pPr>
        <w:pStyle w:val="FirstParagraph"/>
      </w:pPr>
      <w:r>
        <w:t xml:space="preserve">We analyzed 26 forested sites of the U.S. National Ecological Observatory Network (NEON), spanning temperate and boreal biomes across 12 NEON eco-climatic domains from the conterminous United States to interior Alaska (Figure 2). Sites range from evergreen-needleleaf forests of the Pacific Northwest and Rocky Mountains, through deciduous-broadleaf and mixed forests of the eastern and southeastern United States, to boreal forests of interior Alaska (Domain 19: BONA, DEJU, HEAL). These sites encompass broad gradients in climate, productivity, stand age, and species composition. Analyses were conducted at the level of NEON base and distributed plots and aggregated to the site and domain levels as appropriate.</w:t>
      </w:r>
    </w:p>
    <w:p>
      <w:pPr>
        <w:pStyle w:val="BodyText"/>
      </w:pPr>
      <w:r>
        <w:t xml:space="preserve">One site required special handling. TREE (Treehaven) is flown within the STEI (Steigerwaldt) Airborne Observation Platform (AOP) flight box, so its airborne data are published under the STEI site code. For TREE, we derived all airborne predictors (LiDAR structure and dynamics, and spectral indices) from the STEI acquisitions, sampled at TREE plot coordinates. One site (ORNL) lacked the bidirectional-reflectance spectral product entirely; ORNL was included in structural and productivity analyses but excluded from spectral models (spectral models: 25 sites).</w:t>
      </w:r>
    </w:p>
    <w:bookmarkEnd w:id="12"/>
    <w:bookmarkStart w:id="13" w:name="tree-diversity-response-variables"/>
    <w:p>
      <w:pPr>
        <w:pStyle w:val="Heading2"/>
      </w:pPr>
      <w:r>
        <w:t xml:space="preserve">2.2 Tree diversity (response variables)</w:t>
      </w:r>
    </w:p>
    <w:p>
      <w:pPr>
        <w:pStyle w:val="FirstParagraph"/>
      </w:pPr>
      <w:r>
        <w:t xml:space="preserve">Tree species composition was derived from NEON standardized woody-vegetation inventories (DP1.10098). We pooled observations across survey years at the plot level to maximize the temporal completeness of species lists, because NEON does not census every plot in every year. We retained plots with sample coverage ≥ 0.90 to control for uneven sampling completeness.</w:t>
      </w:r>
    </w:p>
    <w:p>
      <w:pPr>
        <w:pStyle w:val="BodyText"/>
      </w:pPr>
      <w:r>
        <w:t xml:space="preserve">We characterized two dimensions of diversity. Alpha diversity was quantified as Hill numbers of order 1 (exponential of Shannon entropy; Hill q1) and order 2 (inverse Simpson; Hill q2), emphasizing common and dominant species, respectively. Beta diversity was quantified per plot as its mean pairwise dissimilarity to all other plots within the same site, separately for the two components of Baselga’s (2010) presence–absence decomposition: Simpson dissimilarity (β_sim, species replacement/turnover) and the nestedness-resultant component (β_sne = β_sor − β_sim, richness difference). To standardize sampling effort, each plot’s abundances were first rarefied to a common number of individuals (n = 10) and converted to presence–absence before the decomposition; components were averaged over 999 Monte-Carlo rarefaction draws.</w:t>
      </w:r>
    </w:p>
    <w:bookmarkEnd w:id="13"/>
    <w:bookmarkStart w:id="14" w:name="remote-sensing-predictors"/>
    <w:p>
      <w:pPr>
        <w:pStyle w:val="Heading2"/>
      </w:pPr>
      <w:r>
        <w:t xml:space="preserve">2.3 Remote-sensing predictors</w:t>
      </w:r>
    </w:p>
    <w:p>
      <w:pPr>
        <w:pStyle w:val="FirstParagraph"/>
      </w:pPr>
      <w:r>
        <w:t xml:space="preserve">Static canopy structure: We summarized airborne LiDAR from the NEON AOP into canopy structural metrics spanning height (mean and 95th-percentile canopy height, maximum height), vertical organization (foliage height diversity, vertical complexity index, vertical SD and CV), heterogeneity (Gini coefficient, rumple, rugosity, height ratio), gap structure (deep-gap fraction), and leaf area index. Metrics were computed from 10 m foliage-structural-diversity rasters and sampled within a 40 m window at each plot. For the static-state analysis, each metric was represented by its multi-year mean at each plot.</w:t>
      </w:r>
    </w:p>
    <w:p>
      <w:pPr>
        <w:pStyle w:val="BodyText"/>
      </w:pPr>
      <w:r>
        <w:t xml:space="preserve">Static spectral state: We computed spectral vegetation indices from a single consistent source, the NEON bidirectional-reflectance (BRDF-corrected) surface reflectance product, as individual indices (NDVI, EVI, ARVI, SAVI). We deliberately used individual vegetation indices rather than a combined spectral-diversity metric, and we excluded PRI and fPAR because of cross-year inconsistency in the provisional products.</w:t>
      </w:r>
    </w:p>
    <w:p>
      <w:pPr>
        <w:pStyle w:val="BodyText"/>
      </w:pPr>
      <w:r>
        <w:t xml:space="preserve">Structural dynamics: We used repeat LiDAR acquisitions to estimate the interannual trend (per-year slope) of each structural metric at each plot over the available observation window. These trends index the rate and direction of canopy structural change (e.g., height and leaf-area accumulation, gap opening) independent of the mean state.</w:t>
      </w:r>
    </w:p>
    <w:p>
      <w:pPr>
        <w:pStyle w:val="BodyText"/>
      </w:pPr>
      <w:r>
        <w:t xml:space="preserve">Ecosystem productivity: We used three independent estimates of gross primary productivity (GPP), none derived from vegetation greenness indices. Two are satellite-constrained model products extracted at plot coordinates via Google Earth Engine: annual MODIS MOD17 GPP (MOD17A3HGF, Collection 6.1; 500 m), averaged over available years, and Penman–Monteith–Leuning PML-V2 GPP (V2.2a; 8-day, 500 m), for which we extracted the full 2000–2024 annual series and summarized the multi-year mean, interannual trend, and SD. The third is directly measured eddy-covariance GPP from NEON flux towers (AmeriFlux FLUXNET-1F, variable GPP_NT_VUT_REF), available as a site-level multi-year mean for 22 of the 26 sites (LENO, ORNL, SOAP, and TEAK lacked a processed record). No imputation was performed. The boreal Alaska towers extend the tower-GPP gradient down to ~380–540 gC m⁻² yr⁻¹, roughly a quarter of the most productive temperate sites (~2,350 gC m⁻² yr⁻¹).</w:t>
      </w:r>
    </w:p>
    <w:bookmarkEnd w:id="14"/>
    <w:bookmarkStart w:id="15" w:name="contextual-covariates"/>
    <w:p>
      <w:pPr>
        <w:pStyle w:val="Heading2"/>
      </w:pPr>
      <w:r>
        <w:t xml:space="preserve">2.4 Contextual covariates</w:t>
      </w:r>
    </w:p>
    <w:p>
      <w:pPr>
        <w:pStyle w:val="FirstParagraph"/>
      </w:pPr>
      <w:r>
        <w:t xml:space="preserve">Disturbance: We characterized disturbance severity and recency for all 26 sites from three remote records (differenced Normalized Burn Ratio, Hansen forest-loss, and MTBS fire perimeters). Because remote products can miss insect outbreaks and selective harvest, we additionally derived an in-situ disturbance record from NEON stem-status observations (vst plantStatus) and documented site-event reports (DP1.10111), and we used these NEON records to classify chronic (</w:t>
      </w:r>
      <w:r>
        <w:t xml:space="preserve">“press”</w:t>
      </w:r>
      <w:r>
        <w:t xml:space="preserve">, e.g., insect-driven mortality) versus discrete (</w:t>
      </w:r>
      <w:r>
        <w:t xml:space="preserve">“pulse”</w:t>
      </w:r>
      <w:r>
        <w:t xml:space="preserve">, e.g., fire and windthrow) regimes. For compositional change, we used a before–after/control–impact (BACI) design.</w:t>
      </w:r>
    </w:p>
    <w:p>
      <w:pPr>
        <w:pStyle w:val="BodyText"/>
      </w:pPr>
      <w:r>
        <w:t xml:space="preserve">Land use: Surrounding land-use context was summarized as fragmentation (edge density), forest fraction, and land-cover diversity within a neighborhood of each plot, derived from ESA WorldCover for all 26 sites.</w:t>
      </w:r>
    </w:p>
    <w:p>
      <w:pPr>
        <w:pStyle w:val="BodyText"/>
      </w:pPr>
      <w:r>
        <w:t xml:space="preserve">Climate: Site-level mean annual temperature and precipitation were obtained from NEON site metadata and used in a sensitivity analysis replacing domain fixed effects (Section 2.5).</w:t>
      </w:r>
    </w:p>
    <w:p>
      <w:pPr>
        <w:pStyle w:val="BodyText"/>
      </w:pPr>
      <w:r>
        <w:t xml:space="preserve">Stand age: Effective stand age was obtained from the GAMI global forest-age product (v3.1; 100 m; ensemble mean of 20 members for 2020), sampled at plot coordinates for all 26 sites from the GFZ Potsdam STAC archive. Re-extracted values reproduced an earlier independent extraction well (r = 0.83). Because stand age carried substantial within-site homogeneity (ICC ≈ 0.75), age effects were interpreted at the site level, and all age analyses were repeated with 20-year age bins to confirm robustness to age-estimate uncertainty.</w:t>
      </w:r>
    </w:p>
    <w:bookmarkEnd w:id="15"/>
    <w:bookmarkStart w:id="16" w:name="statistical-analysis"/>
    <w:p>
      <w:pPr>
        <w:pStyle w:val="Heading2"/>
      </w:pPr>
      <w:r>
        <w:t xml:space="preserve">2.5 Statistical analysis</w:t>
      </w:r>
    </w:p>
    <w:p>
      <w:pPr>
        <w:pStyle w:val="FirstParagraph"/>
      </w:pPr>
      <w:r>
        <w:t xml:space="preserve">All continuous predictors were standardized (z-scores). Before model fitting, we examined pairwise correlations and variance inflation factors (VIF) and removed predictors iteratively until all retained variables had VIF &lt; 5 (maximum 4.0). This screening retained four static structural metrics (rugosity, vertical CV, vertical complexity index, and leaf-area index), one spectral index (EVI), and seven structural-trend metrics. Canopy height, although ecologically central, was strongly collinear with rugosity (r = 0.80) and was dropped; adding it to the full model did not improve fit (ΔAIC = +1.3, ΔR² &lt; 0.001).</w:t>
      </w:r>
    </w:p>
    <w:p>
      <w:pPr>
        <w:pStyle w:val="BodyText"/>
      </w:pPr>
      <w:r>
        <w:t xml:space="preserve">Relationships were estimated with linear models that included NEON domain as a fixed effect, separating broad biogeographic differences from within-domain ecological relationships, with standard errors clustered by site (26 clusters). A site random intercept was initially specified, but its variance collapsed to approximately zero after inclusion of domain fixed effects, and fixed-effect estimates were closely similar between the singular mixed model and the clustered linear model (mean absolute difference in standardized coefficients = 0.03); we therefore report the clustered model. Hill numbers were log-transformed to restore homoscedasticity; the beta components were analyzed with heteroscedasticity-consistent clustered errors, and beta-regression checks gave identical conclusions (Table S2). Residual spatial autocorrelation was evaluated with Moran’s I (k = 8 nearest neighbours), and models with a smooth spatial trend were fitted as sensitivity analyses. Benjamini–Hochberg false-discovery-rate correction was applied within each family of interaction tests.</w:t>
      </w:r>
    </w:p>
    <w:p>
      <w:pPr>
        <w:pStyle w:val="BodyText"/>
      </w:pPr>
      <w:r>
        <w:t xml:space="preserve">Nested framework and few-cluster inference: Plot-level analyses followed a nested hierarchical framework (M0: domain; M1: + static structure and spectral state; M2: + structural dynamics) fitted over a common sample (n = 644 alpha plots, 579 beta plots). We did not include productivity as a plot-level block. The satellite GPP products carry essentially no plot-scale variation (ICC ≈ 0.92), and diagnostic runs that forced GPP into the plot model yielded a non-robust increment and a suppression pattern between the two satellite products (Section 3.5). Productivity–diversity relationships were therefore analysed at the site scale (site-mean diversity versus tower, PML, and MODIS GPP, with linear and quadratic terms to test the shape of the relationship). Because inference rested on 26 site clusters, a regime in which asymptotic cluster-robust standard errors are anticonservative, block-level significance was assessed primarily with restricted wild cluster bootstrap tests (Rademacher weights, 999 replicates) of the null that the added block’s coefficients were jointly zero. Asymptotic cluster-robust Wald tests, likelihood-ratio tests, and AIC are reported as secondary summaries. Both sequential partial R² and blockwise semi-partial (unique) R² are reported and labelled explicitly.</w:t>
      </w:r>
    </w:p>
    <w:p>
      <w:pPr>
        <w:pStyle w:val="BodyText"/>
      </w:pPr>
      <w:r>
        <w:t xml:space="preserve">Coefficient-level Bayesian inference: The wild cluster bootstrap tests a joint block-increment null and is conservative at this cluster count; it does not resolve which individual predictors carry the signal. We therefore complemented it with a Bayesian multilevel model estimating every standardized coefficient simultaneously under partial pooling, fitted separately for each of the four diversity responses. Models were fitted in bambi/PyMC with crossed random intercepts for domain and site-within-domain, a non-centred parameterization, and weakly informative HalfNormal priors on the group scales (domain σ ~ HalfNormal(0.5); site σ ~ HalfNormal(0.3)) to regularize the near-singular site-variance geometry. Four chains were run with 3,000 tuning and 2,000 posterior draws each (target_accept = 0.99). Convergence was complete (0 divergent transitions; R̂ ≤ 1.002). A coefficient was deemed credible when its 95% highest-density interval (HDI) excluded zero; we also report the posterior probability of direction (Table S8). A prior-sensitivity check with the group-scale priors doubled left the credible set and all posterior means essentially unchanged (maximum change 0.007; Table S8). Throughout, inference follows a fixed hierarchy: the wild cluster bootstrap is the primary test for block-level increments, the Bayesian multilevel model is the primary source of individual coefficient estimates, and site-clustered linear models are reported as secondary sensitivity summaries.</w:t>
      </w:r>
    </w:p>
    <w:p>
      <w:pPr>
        <w:pStyle w:val="BodyText"/>
      </w:pPr>
      <w:r>
        <w:t xml:space="preserve">Beta diversity as dissimilarity (variation hypothesis): A predictor-level regression asks a different question from the variation hypothesis (are plots that look more different also compositionally more different?). We therefore additionally analysed beta diversity in dissimilarity space. Pairwise structural and spectral distances (Euclidean, on the standardized retained metrics) were related to compositional Bray–Curtis dissimilarity using within-site restricted-permutation Mantel tests (999 permutations of plots within sites, holding biogeography fixed). We report rank-based (Spearman) statistics because ~9% of within-site pairs share no species, which creates a ceiling at Bray–Curtis = 1. Structural and spectral distances were then fitted jointly in a logit-link regression of the Bray–Curtis dissimilarities on the two distances (accommodating the bounded, ceiling-prone response), with significance from the same within-site permutation scheme; a generalized-dissimilarity-model-style refit using monotone, non-negative hinge bases gave the same conclusion (Supplement S8). Last, structural and spectral local uniqueness (each plot’s mean remote-sensing distance to all other plots of its site) was correlated with the turnover and nestedness components to test which beta component the heterogeneity signal tracks.</w:t>
      </w:r>
    </w:p>
    <w:p>
      <w:pPr>
        <w:pStyle w:val="BodyText"/>
      </w:pPr>
      <w:r>
        <w:t xml:space="preserve">Context dependence (O4): We evaluated interactions between each retained framework predictor and (i) disturbance severity and recency, (ii) surrounding land-use metrics, and (iii) stand age (168 interaction terms in total), fitted with site-clustered errors and FDR-corrected within family. The screen was treated as exploratory except for coherent patterns, which we probed with simple slopes at ±1 SD of the moderator. Compositional disturbance effects were additionally evaluated with the BACI design. All analyses were implemented in Python 3.13 (pandas, numpy, scipy, statsmodels) together with Google Earth Engine.</w:t>
      </w:r>
    </w:p>
    <w:bookmarkEnd w:id="16"/>
    <w:bookmarkEnd w:id="17"/>
    <w:bookmarkStart w:id="24" w:name="results"/>
    <w:p>
      <w:pPr>
        <w:pStyle w:val="Heading1"/>
      </w:pPr>
      <w:r>
        <w:t xml:space="preserve">3. Results</w:t>
      </w:r>
    </w:p>
    <w:bookmarkStart w:id="18" w:name="X0a87d4a33ee4596c1bff5405c60bb6c198c9cfa"/>
    <w:p>
      <w:pPr>
        <w:pStyle w:val="Heading2"/>
      </w:pPr>
      <w:r>
        <w:t xml:space="preserve">3.1 The dominant remote-sensing signal differs among diversity components</w:t>
      </w:r>
    </w:p>
    <w:p>
      <w:pPr>
        <w:pStyle w:val="FirstParagraph"/>
      </w:pPr>
      <w:r>
        <w:t xml:space="preserve">We first partitioned plot-level diversity variance among the two remote-sensing dimensions observed at the plot grain: static canopy state (a structural block and a spectral block) and structural dynamics (LiDAR trend block). Ecosystem productivity was analysed separately at the site level (Section 3.5), because the satellite GPP products carry essentially no plot-scale variation (ICC ≈ 0.92).</w:t>
      </w:r>
    </w:p>
    <w:p>
      <w:pPr>
        <w:pStyle w:val="BodyText"/>
      </w:pPr>
      <w:r>
        <w:t xml:space="preserve">Biogeographic structure alone (NEON domain) accounted for a large share of compositional turnover (R² = 0.58) and for a third to a half of the remaining components (Hill q1 R² = 0.49; Hill q2 = 0.45; nestedness = 0.33). Beyond this baseline, canopy state plus structural dynamics together explained a further 15% of alpha-diversity variance, but only 2% of turnover and 9% of nestedness (Figure 3a).</w:t>
      </w:r>
    </w:p>
    <w:p>
      <w:pPr>
        <w:pStyle w:val="BodyText"/>
      </w:pPr>
      <w:r>
        <w:t xml:space="preserve">Structural dynamics increased sequential partial R² by 0.042, 0.039, 0.013, and 0.056 for Hill q1, Hill q2, turnover, and nestedness, respectively. Under restricted wild cluster bootstrap tests, this joint block increment was significant for both alpha metrics (p = 0.014 and 0.007) but not for turnover (p = 0.77) or nestedness (p = 0.14). The block-level bootstrap, however, is a conservative joint test of the whole block’s added R². Because the dynamics–nestedness link is the principal beta-diversity result of this study, we also tested it at the coefficient level with the Bayesian multilevel model (Section 2.5). Three structural-dynamics trends were credibly associated with nestedness (95% HDI excluding zero): the canopy height-ratio trend (β = −0.31, HDI [−0.42, −0.20]), the vertical-CV trend (β = +0.20, HDI [+0.08, +0.32]), and the leaf-area trend (β = −0.19, HDI [−0.31, −0.07]) (Figure 3f); no other predictor block contributed as many credible coefficients for this component. The same model reproduced the alpha result for both Hill numbers (Hill q1: LAI β = +0.41, VCI β = +0.27; Hill q2: LAI β = +0.40, VCI β = +0.26; all HDI excluding zero) (Figure 3c, d), and for turnover it found only two small credible dynamics trends (LAI trend and height-ratio trend, both β ≈ +0.09) (Figure 3e), consistent with the small turnover R² above. We therefore report the dynamics → nestedness relationship as supported at the coefficient level, while the conservative joint block test does not reach significance (Table S8).</w:t>
      </w:r>
    </w:p>
    <w:p>
      <w:pPr>
        <w:pStyle w:val="BodyText"/>
      </w:pPr>
      <w:r>
        <w:t xml:space="preserve">The variance partition (semi-partial R²; Figure 3b) showed that each plot-level dimension retained information after mutual adjustment, and that the dominant source differed among diversity components. Static structure carried the largest unique share of alpha diversity (Hill q1 = 0.081; Hill q2 = 0.073). Structural dynamics accounted for the largest unique variance fraction for nestedness (0.056) and the second-largest for alpha. Under wild cluster bootstrap block tests, all three blocks were significant for alpha (structure p = 0.001; spectral p ≈ 0.008–0.009; dynamics p = 0.007–0.014), whereas no block reached significance for either beta component under this joint test (all p ≥ 0.10). For turnover, the unique fractions were all small (≤ 0.013) and largely shared, indicating that no single dimension carries much unique turnover information as predictor levels. Spectral greenness contributed a small but significant alpha signal (0.011–0.013) and essentially no unique beta information (turnover = 0.001; nestedness = 0.000). Residual spatial autocorrelation was detectable but modest (Moran’s I = 0.09–0.22, all p = 0.001), and block-level estimates were stable after including a smooth spatial trend.</w:t>
      </w:r>
    </w:p>
    <w:bookmarkEnd w:id="18"/>
    <w:bookmarkStart w:id="19" w:name="Xba6c4d204a65a450cd03565da16db391c770376"/>
    <w:p>
      <w:pPr>
        <w:pStyle w:val="Heading2"/>
      </w:pPr>
      <w:r>
        <w:t xml:space="preserve">3.2 Remote-sensing heterogeneity tracks compositional turnover</w:t>
      </w:r>
    </w:p>
    <w:p>
      <w:pPr>
        <w:pStyle w:val="FirstParagraph"/>
      </w:pPr>
      <w:r>
        <w:t xml:space="preserve">The framework above treats remote sensing as predictor levels. We then asked the variation-hypothesis question: are plots that are more dissimilar in remote-sensing space also more dissimilar in composition? The answer was yes. Within-site restricted-permutation Mantel tests showed that both structural and spectral dissimilarity were positively associated with Bray–Curtis compositional dissimilarity (Spearman r = +0.32 and +0.30, respectively; both p = 0.001; 8,813 within-site pairs across 23 sites) (Figure 4). Three sites were excluded from this analysis: ORNL lacks the spectral product, BLAN retained fewer than the six plots required to form a within-site distance matrix, and STEI had incomplete structural and spectral records for part of its plots. A saturation model appropriate to the bounded response confirmed that structural and spectral distance contribute independently and non-redundantly (structural coefficient +0.23; spectral +0.30; both p = 0.001; pseudo-R² = 0.11). The signal was specific to replacement: structural and spectral local uniqueness correlated with compositional turnover (r ≈ 0.22–0.24) but not with nestedness (r ≈ 0.02 to −0.10). Remote sensing is therefore not blind to turnover. The signal emerges only when remote sensing is analysed as heterogeneity (dissimilarity) rather than as predictor levels, and it remains modest, consistent with much of local species replacement being driven by soil, microtopography, and stochastic processes that the canopy does not record.</w:t>
      </w:r>
    </w:p>
    <w:bookmarkEnd w:id="19"/>
    <w:bookmarkStart w:id="20" w:name="Xab9f6e79f00aab6e9cbeecd0583c89527dd637a"/>
    <w:p>
      <w:pPr>
        <w:pStyle w:val="Heading2"/>
      </w:pPr>
      <w:r>
        <w:t xml:space="preserve">3.3 Static canopy structure provides the broadest biodiversity signal</w:t>
      </w:r>
    </w:p>
    <w:p>
      <w:pPr>
        <w:pStyle w:val="FirstParagraph"/>
      </w:pPr>
      <w:r>
        <w:t xml:space="preserve">Canopy structure was the dominant static predictor of alpha diversity. In the Bayesian multilevel models, leaf-area index had the largest credible effect on both Hill q1 (β = +0.41, HDI [+0.27, +0.54]) and Hill q2 (+0.40 [+0.25, +0.54]), followed by the vertical complexity index (+0.27 [+0.21, +0.35] and +0.26 [+0.19, +0.34]). Spectral greenness (EVI) was a credible but smaller positive predictor (+0.24 [+0.13, +0.34] for q1; +0.26 [+0.14, +0.37] for q2), and its unique contribution (semi-partial R² ≈ 0.012) was roughly six-fold below that of structure. Site-clustered linear models gave closely similar estimates (Table S4).</w:t>
      </w:r>
    </w:p>
    <w:p>
      <w:pPr>
        <w:pStyle w:val="BodyText"/>
      </w:pPr>
      <w:r>
        <w:t xml:space="preserve">Structure was also the only static dimension credibly associated with any beta component, and only for nestedness (vertical CV β = −0.12, HDI [−0.24, −0.004]; rugosity +0.14 [+0.03, +0.24]). No static predictor was credibly associated with turnover as a predictor level; the turnover signal appears only as dissimilarity (Section 3.2). Spectral greenness therefore provided a modest, alpha-specific contribution, whereas canopy structure supplied a broader signal spanning alpha diversity and richness difference.</w:t>
      </w:r>
    </w:p>
    <w:bookmarkEnd w:id="20"/>
    <w:bookmarkStart w:id="21" w:name="X699fc5b7455273979e865245b4120afc8a80a76"/>
    <w:p>
      <w:pPr>
        <w:pStyle w:val="Heading2"/>
      </w:pPr>
      <w:r>
        <w:t xml:space="preserve">3.4 Structural dynamics carry a successional signal but little disturbance-regime contrast</w:t>
      </w:r>
    </w:p>
    <w:p>
      <w:pPr>
        <w:pStyle w:val="FirstParagraph"/>
      </w:pPr>
      <w:r>
        <w:t xml:space="preserve">The trends carrying the dynamics signal were interpretable. For nestedness, the credible trends were those reported in Section 3.1 (height-ratio −0.31; vertical-CV +0.20; leaf-area −0.19); for alpha diversity, the credible dynamics coefficients were the rumple trend (β = +0.09, HDI [+0.02, +0.17]) and the height-ratio trend (+0.11 [+0.04, +0.19]). Site-clustered models pointed in the same directions (nestedness: leaf-area trend −0.25, height-ratio trend −0.29; alpha: rumple trend +0.08, with the FHD trend additionally flagged at −0.12), and this convergence across inference frameworks indicates that the temporal information was ecologically structured rather than noise.</w:t>
      </w:r>
    </w:p>
    <w:p>
      <w:pPr>
        <w:pStyle w:val="BodyText"/>
      </w:pPr>
      <w:r>
        <w:t xml:space="preserve">Along the successional axis, the rate of leaf-area accumulation declined with stand age (LAI trend versus GAMI age β = −0.15, p = 0.03; n = 639 aged plots, median 95 yr, range 7–204), consistent with faster canopy development in younger stands. The diversity–age relationship itself was weakly hump-shaped (Hill q1 quadratic p = 0.02); we interpret this as a biogeographic age confound (older stands are concentrated in particular domains) rather than a causal successional effect. Along the disturbance axis, we compared pre-to-post structural change (ΔLAI) between chronic (</w:t>
      </w:r>
      <w:r>
        <w:t xml:space="preserve">“press”</w:t>
      </w:r>
      <w:r>
        <w:t xml:space="preserve">) and discrete (</w:t>
      </w:r>
      <w:r>
        <w:t xml:space="preserve">“pulse”</w:t>
      </w:r>
      <w:r>
        <w:t xml:space="preserve">) regimes classified from NEON in-situ records. Neither regime showed strong net change (press median −0.029, 23 sites; pulse ~0.000, 18 sites; sites can contribute to both), and the two did not differ detectably. We therefore report no robust press/pulse structural contrast; the regime label itself is classification-dependent (e.g., YELL reads as fire/pulse in MTBS but as press in the NEON in-situ record). Apparent relationships between initial structure and subsequent change were largely consistent with a regression-to-the-mean null (Supplementary Methods S1) and were interpreted conservatively.</w:t>
      </w:r>
    </w:p>
    <w:bookmarkEnd w:id="21"/>
    <w:bookmarkStart w:id="22" w:name="Xb8bee062b370a50cdf5f776b05c7f32ba534a05"/>
    <w:p>
      <w:pPr>
        <w:pStyle w:val="Heading2"/>
      </w:pPr>
      <w:r>
        <w:t xml:space="preserve">3.5 Productivity relates to diversity at the site scale (species–energy)</w:t>
      </w:r>
    </w:p>
    <w:p>
      <w:pPr>
        <w:pStyle w:val="FirstParagraph"/>
      </w:pPr>
      <w:r>
        <w:t xml:space="preserve">At the site level, the species–energy relationship was clear. Tower GPP was positively and monotonically related to site-mean alpha diversity across the 22 tower sites (Hill q1: r = +0.59, p = 0.004; Hill q2: r = +0.57, p = 0.006), with no evidence of a hump (quadratic p = 0.87) (Figure 5a). The satellite products agreed: site-mean PML-V2 and MODIS GPP were both positively related to site-mean diversity (PML r = +0.50, p = 0.009; MODIS r = +0.60, p = 0.001), tracked the tower closely (r = +0.86 and +0.85, respectively), and showed the same monotonic, hump-free increase (Figure 5b, c). GPP also retained a positive association with alpha diversity after replacing domain fixed effects with mean annual temperature and precipitation (Table S5), indicating that the relationship is not a pure climate signal.</w:t>
      </w:r>
    </w:p>
    <w:p>
      <w:pPr>
        <w:pStyle w:val="BodyText"/>
      </w:pPr>
      <w:r>
        <w:t xml:space="preserve">The plot-level diagnostic confirmed why productivity belongs at the site scale. Forced into the plot-level model, the productivity block added little (ΔR² = 0.003–0.012, all p &gt; 0.18 with PML V2.2a), and its only non-trivial component, for turnover, was consistent with statistical suppression: MODIS and PML took strongly opposing signs in the joint model (MODIS β = −0.24, p = 0.04; PML β = +0.36, p = 0.02) despite being correlated at r = 0.85, whereas neither was clearly associated with turnover on its own (MODIS β = −0.01, p = 0.83; PML β = +0.06, p = 0.13) (Table S7). These opposing product-specific coefficients preclude a directional ecological interpretation. We therefore analyse productivity only at the site scale, and we regard the grain difference as part of the ecological signal rather than a data limitation: canopy structure and its dynamics inform diversity at the plot grain, whereas, in our data, the productivity signal operated primarily at the site grain.</w:t>
      </w:r>
    </w:p>
    <w:bookmarkEnd w:id="22"/>
    <w:bookmarkStart w:id="23" w:name="Xacedd5f1e4acc7ffa6e9250cdc8a3c5f0e53806"/>
    <w:p>
      <w:pPr>
        <w:pStyle w:val="Heading2"/>
      </w:pPr>
      <w:r>
        <w:t xml:space="preserve">3.6 Ecological context modifies remote sensing–diversity associations</w:t>
      </w:r>
    </w:p>
    <w:p>
      <w:pPr>
        <w:pStyle w:val="FirstParagraph"/>
      </w:pPr>
      <w:r>
        <w:t xml:space="preserve">Across three context families (stand age, disturbance, land use), the interaction screen (168 terms) identified seven terms surviving FDR correction (four disturbance, three land use) (Figure 6a). We treat the two coherent patterns below as interpretable and the remainder as exploratory.</w:t>
      </w:r>
    </w:p>
    <w:p>
      <w:pPr>
        <w:pStyle w:val="BodyText"/>
      </w:pPr>
      <w:r>
        <w:t xml:space="preserve">First, the productivity–diversity association was descriptively steeper in older stands; simple slopes of MODIS GPP on Hill q1 rose from +0.17 (p = 0.13) at −1 SD stand age to +0.27 (p = 0.01) at the mean and +0.38 (p = 0.007) at +1 SD (Figure 6b). However, the formal GPP × stand-age interaction did not survive FDR correction (MODIS q = 0.26; PML q = 0.35). We therefore report age dependence of the productivity signal as suggestive rather than statistically supported. Second, the structure–diversity association weakened with disturbance. The leaf-area × severity interaction was negative for alpha diversity (q = 0.004), and disturbance recency additionally moderated the productivity signal (MODIS × recency q = 0.005). The VCI–diversity simple slope remained positive at all disturbance levels but declined from +0.39 (p = 9 × 10⁻⁷) in the least-disturbed plots to +0.21 (p = 1 × 10⁻⁴) in the most-disturbed (Figure 6c). Among land-use interactions, spectral-by-land-use terms on turnover survived correction (EVI × forest fraction q = 4 × 10⁻⁵; EVI × edge density q = 0.002; EVI × land-cover diversity q = 0.009) and are reported as exploratory. Direct land-use effects were weak and non-significant (edge density β = −0.09, p = 0.10; forest fraction β = +0.06, p = 0.22). Last, in the BACI analysis, the treatment × post-disturbance interaction estimated a decline of approximately one species (ΔRichness β = −1.05, p = 0.069; n = 79 impact and 215 control plots), whereas abundance-weighted diversity was unchanged (p = 0.81), consistent with losses concentrated among rare species.</w:t>
      </w:r>
    </w:p>
    <w:bookmarkEnd w:id="23"/>
    <w:bookmarkEnd w:id="24"/>
    <w:bookmarkStart w:id="31" w:name="discussion"/>
    <w:p>
      <w:pPr>
        <w:pStyle w:val="Heading1"/>
      </w:pPr>
      <w:r>
        <w:t xml:space="preserve">4. Discussion</w:t>
      </w:r>
    </w:p>
    <w:p>
      <w:pPr>
        <w:pStyle w:val="FirstParagraph"/>
      </w:pPr>
      <w:r>
        <w:t xml:space="preserve">Our results show that the three remote-sensing dimensions carried complementary rather than redundant information about tree diversity, and that the dominant signal differed among diversity components. Static canopy structure held the largest unique share of alpha diversity. Structural dynamics held the largest unique share of nestedness. Compositional turnover was tracked only by remote-sensing dissimilarity, and site-level productivity supported a monotonic species–energy relationship. We discuss each dimension in turn, then consider context dependence and limitations.</w:t>
      </w:r>
    </w:p>
    <w:bookmarkStart w:id="25" w:name="X3df4ff567b8fe286e929a74608e61d7d7ef82db"/>
    <w:p>
      <w:pPr>
        <w:pStyle w:val="Heading2"/>
      </w:pPr>
      <w:r>
        <w:t xml:space="preserve">Canopy structure provides the strongest static signal of local diversity</w:t>
      </w:r>
    </w:p>
    <w:p>
      <w:pPr>
        <w:pStyle w:val="FirstParagraph"/>
      </w:pPr>
      <w:r>
        <w:t xml:space="preserve">Canopy structure was the dominant static predictor of alpha diversity (LAI β ≈ +0.40; VCI β ≈ +0.27 in the Bayesian multilevel models), and it was the only static dimension credibly associated with any beta component. This is consistent with the long-standing view that three-dimensional canopy architecture indexes the physical niche space over which tree species partition light and growing space (MacArthur and MacArthur 1961; Davies and Asner 2014). Spectral greenness added a smaller, strictly alpha-specific signal (unique R² ≈ 0.012) and no unique beta information. The implication for remote biodiversity monitoring is direct: structural and spectral observations are not interchangeable. Spectral indices, still the most common remote proxy for diversity, capture a real but narrow slice of local richness and are essentially silent on how communities differ across space. LiDAR structure captures both.</w:t>
      </w:r>
    </w:p>
    <w:bookmarkEnd w:id="25"/>
    <w:bookmarkStart w:id="26" w:name="X4f5aacb7fa9b54d88fbd9cf23da08535f03b138"/>
    <w:p>
      <w:pPr>
        <w:pStyle w:val="Heading2"/>
      </w:pPr>
      <w:r>
        <w:t xml:space="preserve">Structural trajectories align with directional richness differences</w:t>
      </w:r>
    </w:p>
    <w:p>
      <w:pPr>
        <w:pStyle w:val="FirstParagraph"/>
      </w:pPr>
      <w:r>
        <w:t xml:space="preserve">Repeated LiDAR observations contributed information beyond static state, most distinctly for nestedness, for which interannual trends accounted for the largest unique variance fraction (semi-partial R² = 0.056) and multiple individual trends showed credible Bayesian associations, although the block-level few-cluster test did not reject the joint null. This suggests that the trajectory of canopy development, not just its current configuration, carries a signature of directional richness differences among stands. The trends were not noise: leaf-area accumulation slowed significantly with stand age (β = −0.15), the expected succession signature of rapid aggradation in young stands giving way to slower change in mature forests (Bormann and Likens 1979; Franklin et al. 2002).</w:t>
      </w:r>
    </w:p>
    <w:p>
      <w:pPr>
        <w:pStyle w:val="BodyText"/>
      </w:pPr>
      <w:r>
        <w:t xml:space="preserve">The inference for this link deserves a note on method. The joint block-increment test did not reach significance under the wild cluster bootstrap, but that test is conservative at this network size and answers a different question from</w:t>
      </w:r>
      <w:r>
        <w:t xml:space="preserve"> </w:t>
      </w:r>
      <w:r>
        <w:t xml:space="preserve">“which trends matter.”</w:t>
      </w:r>
      <w:r>
        <w:t xml:space="preserve"> </w:t>
      </w:r>
      <w:r>
        <w:t xml:space="preserve">When we estimated individual coefficients in the Bayesian multilevel model, three dynamics trends were credibly associated with nestedness (height-ratio −0.31; vertical-CV +0.20; leaf-area −0.19). We therefore treat dynamics → nestedness as a coefficient-level supported result, with the caveat that a stiffer joint test awaits a network with more independent sites.</w:t>
      </w:r>
    </w:p>
    <w:p>
      <w:pPr>
        <w:pStyle w:val="BodyText"/>
      </w:pPr>
      <w:r>
        <w:t xml:space="preserve">It is also notable that the dynamics signal was strongest for nestedness rather than turnover, which runs against the intuition the terms invite:</w:t>
      </w:r>
      <w:r>
        <w:t xml:space="preserve"> </w:t>
      </w:r>
      <w:r>
        <w:t xml:space="preserve">“turnover”</w:t>
      </w:r>
      <w:r>
        <w:t xml:space="preserve"> </w:t>
      </w:r>
      <w:r>
        <w:t xml:space="preserve">sounds dynamic, and</w:t>
      </w:r>
      <w:r>
        <w:t xml:space="preserve"> </w:t>
      </w:r>
      <w:r>
        <w:t xml:space="preserve">“nestedness”</w:t>
      </w:r>
      <w:r>
        <w:t xml:space="preserve"> </w:t>
      </w:r>
      <w:r>
        <w:t xml:space="preserve">sounds like a static difference. The remote-sensing signals map by the nature of the underlying process, not by the connotation of the label. Lateral species replacement (turnover) is fundamentally a spatial contrast among communities and is tracked here by static dissimilarity. Directional richness differences (nestedness) may retain signatures of stand developmental trajectories, and those trajectories are what canopy dynamics record.</w:t>
      </w:r>
    </w:p>
    <w:bookmarkEnd w:id="26"/>
    <w:bookmarkStart w:id="27" w:name="X7e2e3cd1a43151e50d08a233763fb49f714bd06"/>
    <w:p>
      <w:pPr>
        <w:pStyle w:val="Heading2"/>
      </w:pPr>
      <w:r>
        <w:t xml:space="preserve">Remote-sensing heterogeneity and species replacement</w:t>
      </w:r>
    </w:p>
    <w:p>
      <w:pPr>
        <w:pStyle w:val="FirstParagraph"/>
      </w:pPr>
      <w:r>
        <w:t xml:space="preserve">Predictor-level models captured little unique turnover variation, whereas turnover became much clearer when the same observations were expressed as between-plot dissimilarity (Mantel r ≈ +0.3 for structure and spectra). This is a structural-and-spectral generalization of the spectral variation hypothesis (Palmer et al. 2002; Rocchini et al. 2010), and our within-site permutation design indicates that it is not an artifact of broad environmental gradients. The analytic lesson is as important as the ecological one: whether remote sensing</w:t>
      </w:r>
      <w:r>
        <w:t xml:space="preserve"> </w:t>
      </w:r>
      <w:r>
        <w:t xml:space="preserve">“captures”</w:t>
      </w:r>
      <w:r>
        <w:t xml:space="preserve"> </w:t>
      </w:r>
      <w:r>
        <w:t xml:space="preserve">beta diversity depends on how the question is posed. Asked as a regression of composition on canopy properties, the answer is essentially no; asked as a correspondence between dissimilarity matrices, the answer is yes. We suggest that monitoring designs aimed at species replacement should operate on remote-sensing distances (e.g., generalized dissimilarity modelling) rather than per-plot predictions. At the same time, the signal is modest and specific to replacement. We speculate that much of local species replacement rides on soil, microtopography, dispersal, and stochastic assembly that the canopy does not record; this is an intrinsic ceiling rather than a sensor deficiency.</w:t>
      </w:r>
    </w:p>
    <w:bookmarkEnd w:id="27"/>
    <w:bookmarkStart w:id="28" w:name="Xd554ca155d25ae868bca19098cbde3e1cdf2a7d"/>
    <w:p>
      <w:pPr>
        <w:pStyle w:val="Heading2"/>
      </w:pPr>
      <w:r>
        <w:t xml:space="preserve">Realized productivity and the species–energy relationship</w:t>
      </w:r>
    </w:p>
    <w:p>
      <w:pPr>
        <w:pStyle w:val="FirstParagraph"/>
      </w:pPr>
      <w:r>
        <w:t xml:space="preserve">Because we deliberately avoided greenness as a productivity proxy, the productivity results speak to energy availability rather than canopy density. All three independent GPP estimates showed positive species–energy relationships, and the tower relationship was clear (r = +0.59, n = 22), anchored at the low end by the boreal Alaska towers. The relationship was monotonic, with no evidence of a unimodal hump in either MODIS or tower data. This distinction suggests that hump-shaped relationships reported from greenness proxies need not reflect the response of diversity to realized carbon uptake itself. Two scale considerations bound this conclusion. First, the satellite GPP products are effectively site-scale (ICC ≈ 0.92), so we report species–energy at the site level. Second, when productivity was forced into the plot-level model, its turnover component was an uninterpretable suppression artifact between the two satellite products, which is itself the reason we keep productivity at the site scale. We frame realized productivity as an energy-based corroboration of a monotonic species–energy pattern, distinct from the canopy-structure signal that dominates local diversity.</w:t>
      </w:r>
    </w:p>
    <w:bookmarkEnd w:id="28"/>
    <w:bookmarkStart w:id="29" w:name="context-dependence-and-its-limits"/>
    <w:p>
      <w:pPr>
        <w:pStyle w:val="Heading2"/>
      </w:pPr>
      <w:r>
        <w:t xml:space="preserve">Context dependence and its limits</w:t>
      </w:r>
    </w:p>
    <w:p>
      <w:pPr>
        <w:pStyle w:val="FirstParagraph"/>
      </w:pPr>
      <w:r>
        <w:t xml:space="preserve">Context moderation proved to be the least resolvable layer of the framework. The productivity–diversity relationship was descriptively steeper in older stands, but the formal interaction did not survive FDR correction. We draw a general lesson: context-moderation effects estimated from a few dozen site clusters are fragile, because interaction terms demand between-site contrasts that a network of 26 sites in 12 domains can least afford. In contrast, the disturbance axis was more consistent. The structure–diversity slope declined monotonically with disturbance severity, and the BACI analysis estimated a loss of roughly one rare species with dominance structure intact. Disturbance therefore appears to weaken the structure–diversity coupling, but the effect sizes are small, and we frame disturbance moderation as directionally supported rather than definitive.</w:t>
      </w:r>
    </w:p>
    <w:bookmarkEnd w:id="29"/>
    <w:bookmarkStart w:id="30" w:name="limitations-and-future-work"/>
    <w:p>
      <w:pPr>
        <w:pStyle w:val="Heading2"/>
      </w:pPr>
      <w:r>
        <w:t xml:space="preserve">Limitations and future work</w:t>
      </w:r>
    </w:p>
    <w:p>
      <w:pPr>
        <w:pStyle w:val="FirstParagraph"/>
      </w:pPr>
      <w:r>
        <w:t xml:space="preserve">Four limitations bound our inference. First, statistical power at the site level remains the central constraint. Several NEON domains contain a single site, so joint block tests are conservative for beta components and interactions, and some coefficient-level effects (dynamics → nestedness) do not clear the joint test. Second, covariate provenance is heterogeneous: one site (TREE) required recovery from a shared AOP flight box, one (ORNL) lacks the spectral product, four lack processed tower GPP, and the stand-age and land-cover products were extracted from current product versions; we validated the age extraction (r = 0.83) and extracted all sites from single sources, but cross-version comparability with earlier literature should be treated with care. Third, the turnover signal, though robust, is weak (r ≈ 0.3), so our strongest beta claims concern richness difference rather than replacement. Fourth, our responses are limited to tree diversity; whether the division of labour among remote-sensing dimensions extends to understorey plants, or to faunal groups whose habitat associations with canopy structure differ from those of trees, remains to be tested.</w:t>
      </w:r>
    </w:p>
    <w:p>
      <w:pPr>
        <w:pStyle w:val="BodyText"/>
      </w:pPr>
      <w:r>
        <w:t xml:space="preserve">Future work could extend this framework in two directions. Spaceborne LiDAR (GEDI) and denser flux networks would allow the division of labour among remote-sensing dimensions to be tested beyond NEON, and repeat-LiDAR records that are longer than the current ~5–8-year window would allow the structural-dynamics signal to be linked more firmly to demographic change. It is worth noting that the framework maps directly onto current spaceborne missions: GEDI supplies structural levels and, with repeated sampling, structural trajectories; imaging spectrometers supply the spectral dissimilarity axis; and flux-constrained GPP products supply the energy axis. The division of labour reported here can therefore be evaluated wherever these observations overlap, without airborne campaigns.</w:t>
      </w:r>
    </w:p>
    <w:bookmarkEnd w:id="30"/>
    <w:bookmarkEnd w:id="31"/>
    <w:bookmarkStart w:id="33" w:name="conclusion"/>
    <w:p>
      <w:pPr>
        <w:pStyle w:val="Heading1"/>
      </w:pPr>
      <w:r>
        <w:t xml:space="preserve">5. Conclusion</w:t>
      </w:r>
    </w:p>
    <w:p>
      <w:pPr>
        <w:pStyle w:val="FirstParagraph"/>
      </w:pPr>
      <w:r>
        <w:t xml:space="preserve">We evaluated how three remote-sensing dimensions relate to the components of tree diversity across 26 NEON sites spanning temperate to boreal North America. Remote sensing does not observe forest biodiversity through a single window. Static canopy structure carried the broadest signal and dominated alpha diversity. Structural dynamics contributed most uniquely, and credibly under Bayesian multilevel inference, to richness difference (nestedness). Species replacement (turnover) carried little predictor-level signal but was tracked by structural and spectral dissimilarity. Realized productivity supported a monotonic, hump-free species–energy relationship confirmed by eddy-covariance towers. These signals align with the ecological processes associated with each diversity component: static contrast for lateral replacement, temporal trajectory for directional richness change. For biodiversity monitoring, our findings suggest that both the sensor and the analytical framing should be matched to the diversity dimension of interest, that productivity–diversity inference should be grounded in realized carbon uptake rather than greenness, and that context-moderation claims from site-sparse networks should be held to a standard of replication.</w:t>
      </w:r>
    </w:p>
    <w:p>
      <w:r>
        <w:pict>
          <v:rect style="width:0;height:1.5pt" o:hralign="center" o:hrstd="t" o:hr="t"/>
        </w:pict>
      </w:r>
    </w:p>
    <w:bookmarkStart w:id="32" w:name="figure-legends"/>
    <w:p>
      <w:pPr>
        <w:pStyle w:val="Heading2"/>
      </w:pPr>
      <w:r>
        <w:t xml:space="preserve">Figure legends</w:t>
      </w:r>
    </w:p>
    <w:p>
      <w:pPr>
        <w:pStyle w:val="FirstParagraph"/>
      </w:pPr>
      <w:r>
        <w:rPr>
          <w:b/>
          <w:bCs/>
        </w:rPr>
        <w:t xml:space="preserve">Figure 1.</w:t>
      </w:r>
      <w:r>
        <w:t xml:space="preserve"> </w:t>
      </w:r>
      <w:r>
        <w:t xml:space="preserve">Conceptual framework. Three remote-sensing dimensions (static canopy state, structural dynamics, ecosystem productivity) are related to the components of tree diversity (alpha, turnover, nestedness, and the site-level species–energy relationship). Arrow weight indicates the strength of the association found in this study; arrow labels give the analytical framing through which each signal emerges (predictor levels, between-plot dissimilarity, temporal trends, site-scale aggregation).</w:t>
      </w:r>
    </w:p>
    <w:p>
      <w:pPr>
        <w:pStyle w:val="BodyText"/>
      </w:pPr>
      <w:r>
        <w:rPr>
          <w:b/>
          <w:bCs/>
        </w:rPr>
        <w:t xml:space="preserve">Figure 2.</w:t>
      </w:r>
      <w:r>
        <w:t xml:space="preserve"> </w:t>
      </w:r>
      <w:r>
        <w:t xml:space="preserve">Study area. The 26 forested NEON sites, with grey lines giving the NEON eco-climatic domain boundaries (labelled D01–D19); the conterminous United States is shown in a CONUS Albers equal-area projection and the three interior-Alaska sites in a separate Alaska Albers panel. Point colour encodes site climate on a continuous bivariate gradient (mean annual temperature × mean annual precipitation; legend at lower left). Site-label colour gives forest type derived from the NEON woody-vegetation inventories as the conifer fraction of live stems ≥ 10 cm DBH (needleleaf ≥ 75%, broadleaf ≤ 25%, otherwise mixed). Clustered sites are displaced slightly for legibility, with thin lines connecting each symbol to its true location.</w:t>
      </w:r>
    </w:p>
    <w:p>
      <w:pPr>
        <w:pStyle w:val="BodyText"/>
      </w:pPr>
      <w:r>
        <w:rPr>
          <w:b/>
          <w:bCs/>
        </w:rPr>
        <w:t xml:space="preserve">Figure 3.</w:t>
      </w:r>
      <w:r>
        <w:t xml:space="preserve"> </w:t>
      </w:r>
      <w:r>
        <w:t xml:space="preserve">Plot-level framework (n = 644 alpha / 579 beta plots, 26 sites, 12 domains). (a) Sequential R² beyond the NEON-domain baseline for canopy state and structural dynamics; stars give restricted wild cluster bootstrap p-values for the dynamics increment. (b) Unique (semi-partial) R² of the structural, spectral, and dynamics blocks plus their shared fraction; stars give wild cluster bootstrap block tests. (c–f) Standardized coefficients (posterior mean and 95% HDI) from the Bayesian multilevel model for Hill q1 (c), Hill q2 (d), turnover (e), and nestedness (f); filled symbols indicate coefficients whose 95% HDI excludes zero. All four models converged fully (0 divergent transitions; Gelman–Rubin R̂ ≤ 1.002).</w:t>
      </w:r>
    </w:p>
    <w:p>
      <w:pPr>
        <w:pStyle w:val="BodyText"/>
      </w:pPr>
      <w:r>
        <w:rPr>
          <w:b/>
          <w:bCs/>
        </w:rPr>
        <w:t xml:space="preserve">Figure 4.</w:t>
      </w:r>
      <w:r>
        <w:t xml:space="preserve"> </w:t>
      </w:r>
      <w:r>
        <w:t xml:space="preserve">Remote-sensing dissimilarity tracks compositional dissimilarity (variation hypothesis). Within-site plot-pair structural (a) and spectral (b) distance versus Bray–Curtis compositional dissimilarity (n = 8,813 pairs, 23 sites); grey hexagons give the number of plot pairs (log scale); red lines show decile-bin means; r values are within-site restricted-permutation Mantel correlations (Spearman).</w:t>
      </w:r>
    </w:p>
    <w:p>
      <w:pPr>
        <w:pStyle w:val="BodyText"/>
      </w:pPr>
      <w:r>
        <w:rPr>
          <w:b/>
          <w:bCs/>
        </w:rPr>
        <w:t xml:space="preserve">Figure 5.</w:t>
      </w:r>
      <w:r>
        <w:t xml:space="preserve"> </w:t>
      </w:r>
      <w:r>
        <w:t xml:space="preserve">Site-level species–energy relationship. Site-mean Hill q1 versus (a) eddy-covariance tower GPP (22 sites), (b) PML-V2 GPP, and (c) MODIS GPP (all 26 sites). All three relationships are monotonic with no quadratic (hump) support, and both satellite products track the tower closely (r = +0.86 and +0.85).</w:t>
      </w:r>
    </w:p>
    <w:p>
      <w:pPr>
        <w:pStyle w:val="BodyText"/>
      </w:pPr>
      <w:r>
        <w:rPr>
          <w:b/>
          <w:bCs/>
        </w:rPr>
        <w:t xml:space="preserve">Figure 6.</w:t>
      </w:r>
      <w:r>
        <w:t xml:space="preserve"> </w:t>
      </w:r>
      <w:r>
        <w:t xml:space="preserve">Context moderation. (a) All seven interaction terms surviving FDR correction (q = Benjamini–Hochberg-adjusted p) in the 168-term screen; points give the standardized interaction β with Wald 95% confidence intervals (derived from each term’s site-clustered test statistic); colour = context family. (b) Simple slopes (± 95% CI) of MODIS GPP on Hill q1 at −1 SD, mean, and +1 SD stand age; the formal interaction does not survive FDR (q = 0.26) and is reported as suggestive. (c) Simple slopes of VCI on Hill q1 by disturbance severity. Asterisks: p &lt; 0.05.</w:t>
      </w:r>
    </w:p>
    <w:p>
      <w:pPr>
        <w:pStyle w:val="BodyText"/>
      </w:pPr>
      <w:r>
        <w:rPr>
          <w:i/>
          <w:iCs/>
        </w:rPr>
        <w:t xml:space="preserve">(References to be finalized; citation style: author–year.)</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2026-08-17T01:10:40Z</dcterms:created>
  <dcterms:modified xsi:type="dcterms:W3CDTF">2026-08-17T01:10:40Z</dcterms:modified>
</cp:coreProperties>
</file>

<file path=docProps/custom.xml><?xml version="1.0" encoding="utf-8"?>
<Properties xmlns="http://schemas.openxmlformats.org/officeDocument/2006/custom-properties" xmlns:vt="http://schemas.openxmlformats.org/officeDocument/2006/docPropsVTypes"/>
</file>