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supplementary-information-stub"/>
    <w:p>
      <w:pPr>
        <w:pStyle w:val="Heading1"/>
      </w:pPr>
      <w:r>
        <w:t xml:space="preserve">Supplementary Information (stub)</w:t>
      </w:r>
    </w:p>
    <w:p>
      <w:pPr>
        <w:pStyle w:val="FirstParagraph"/>
      </w:pPr>
      <w:r>
        <w:t xml:space="preserve">Reproducibility: robustness checks =</w:t>
      </w:r>
      <w:r>
        <w:t xml:space="preserve"> </w:t>
      </w:r>
      <w:r>
        <w:rPr>
          <w:rStyle w:val="VerbatimChar"/>
        </w:rPr>
        <w:t xml:space="preserve">scripts/obj23/155_methods_robustness.py</w:t>
      </w:r>
      <w:r>
        <w:t xml:space="preserve">; framework =</w:t>
      </w:r>
      <w:r>
        <w:t xml:space="preserve"> </w:t>
      </w:r>
      <w:r>
        <w:rPr>
          <w:rStyle w:val="VerbatimChar"/>
        </w:rPr>
        <w:t xml:space="preserve">153_nested_framework.py</w:t>
      </w:r>
      <w:r>
        <w:t xml:space="preserve">.</w:t>
      </w:r>
    </w:p>
    <w:bookmarkStart w:id="9" w:name="Xfd719892673db0d47778e571c3ae2ce3fb89737"/>
    <w:p>
      <w:pPr>
        <w:pStyle w:val="Heading2"/>
      </w:pPr>
      <w:r>
        <w:t xml:space="preserve">Supplementary Methods S1 — Regression-to-the-mean (RTM) null model</w:t>
      </w:r>
    </w:p>
    <w:p>
      <w:pPr>
        <w:pStyle w:val="FirstParagraph"/>
      </w:pPr>
      <w:r>
        <w:t xml:space="preserve">Apparent buffering/amplification between initial canopy structure and subsequent structural change was tested against an RTM null. The null assumes no biological feedback between initial state and subsequent change while preserving the observed variance and measurement error of the repeated LiDAR observations; expected initial–change relationships under pure RTM were simulated and compared with the observed slopes. Only observed relationships exceeding the RTM envelope were interpreted as biological regulation. [Full simulation code:</w:t>
      </w:r>
      <w:r>
        <w:t xml:space="preserve"> </w:t>
      </w:r>
      <w:r>
        <w:rPr>
          <w:rStyle w:val="VerbatimChar"/>
        </w:rPr>
        <w:t xml:space="preserve">scripts/obj23/90–92</w:t>
      </w:r>
      <w:r>
        <w:t xml:space="preserve">; expand narrative for submission.]</w:t>
      </w:r>
    </w:p>
    <w:bookmarkEnd w:id="9"/>
    <w:bookmarkStart w:id="10" w:name="X50f93592cb32c16ac9380cd2fab7cc4c5562fef"/>
    <w:p>
      <w:pPr>
        <w:pStyle w:val="Heading2"/>
      </w:pPr>
      <w:r>
        <w:t xml:space="preserve">Supplementary Table S1b — Few-cluster-valid block tests (wild cluster bootstrap, 19 sites)</w:t>
      </w:r>
    </w:p>
    <w:p>
      <w:pPr>
        <w:pStyle w:val="FirstParagraph"/>
      </w:pPr>
      <w:r>
        <w:t xml:space="preserve">Restricted wild cluster bootstrap (Rademacher, 999 reps), the primary block test; asymptotic cluster-robust Wald shown for contrast (anticonservative with 19 clusters). Script</w:t>
      </w:r>
      <w:r>
        <w:t xml:space="preserve"> </w:t>
      </w:r>
      <w:r>
        <w:rPr>
          <w:rStyle w:val="VerbatimChar"/>
        </w:rPr>
        <w:t xml:space="preserve">159_fewcluster_robust.py</w:t>
      </w:r>
      <w:r>
        <w:t xml:space="preserve">,</w:t>
      </w:r>
      <w:r>
        <w:t xml:space="preserve"> </w:t>
      </w:r>
      <w:r>
        <w:rPr>
          <w:rStyle w:val="VerbatimChar"/>
        </w:rPr>
        <w:t xml:space="preserve">wildboot_blocks.csv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response</w:t>
            </w:r>
          </w:p>
        </w:tc>
        <w:tc>
          <w:tcPr/>
          <w:p>
            <w:pPr>
              <w:pStyle w:val="Compact"/>
            </w:pPr>
            <w:r>
              <w:t xml:space="preserve">dynamics: Wald p</w:t>
            </w:r>
          </w:p>
        </w:tc>
        <w:tc>
          <w:tcPr/>
          <w:p>
            <w:pPr>
              <w:pStyle w:val="Compact"/>
            </w:pPr>
            <w:r>
              <w:rPr>
                <w:b/>
                <w:bCs/>
              </w:rPr>
              <w:t xml:space="preserve">dynamics: wild-boot p</w:t>
            </w:r>
          </w:p>
        </w:tc>
        <w:tc>
          <w:tcPr/>
          <w:p>
            <w:pPr>
              <w:pStyle w:val="Compact"/>
            </w:pPr>
            <w:r>
              <w:t xml:space="preserve">function: Wald p</w:t>
            </w:r>
          </w:p>
        </w:tc>
        <w:tc>
          <w:tcPr/>
          <w:p>
            <w:pPr>
              <w:pStyle w:val="Compact"/>
            </w:pPr>
            <w:r>
              <w:rPr>
                <w:b/>
                <w:bCs/>
              </w:rPr>
              <w:t xml:space="preserve">function: wild-boot p</w:t>
            </w:r>
          </w:p>
        </w:tc>
      </w:tr>
      <w:tr>
        <w:tc>
          <w:tcPr/>
          <w:p>
            <w:pPr>
              <w:pStyle w:val="Compact"/>
            </w:pPr>
            <w:r>
              <w:t xml:space="preserve">Hill q1</w:t>
            </w:r>
          </w:p>
        </w:tc>
        <w:tc>
          <w:tcPr/>
          <w:p>
            <w:pPr>
              <w:pStyle w:val="Compact"/>
            </w:pPr>
            <w:r>
              <w:t xml:space="preserve">2e-4</w:t>
            </w:r>
          </w:p>
        </w:tc>
        <w:tc>
          <w:tcPr/>
          <w:p>
            <w:pPr>
              <w:pStyle w:val="Compact"/>
            </w:pPr>
            <w:r>
              <w:rPr>
                <w:b/>
                <w:bCs/>
              </w:rPr>
              <w:t xml:space="preserve">0.058</w:t>
            </w:r>
          </w:p>
        </w:tc>
        <w:tc>
          <w:tcPr/>
          <w:p>
            <w:pPr>
              <w:pStyle w:val="Compact"/>
            </w:pPr>
            <w:r>
              <w:t xml:space="preserve">0.059</w:t>
            </w:r>
          </w:p>
        </w:tc>
        <w:tc>
          <w:tcPr/>
          <w:p>
            <w:pPr>
              <w:pStyle w:val="Compact"/>
            </w:pPr>
            <w:r>
              <w:rPr>
                <w:b/>
                <w:bCs/>
              </w:rPr>
              <w:t xml:space="preserve">0.128</w:t>
            </w:r>
          </w:p>
        </w:tc>
      </w:tr>
      <w:tr>
        <w:tc>
          <w:tcPr/>
          <w:p>
            <w:pPr>
              <w:pStyle w:val="Compact"/>
            </w:pPr>
            <w:r>
              <w:t xml:space="preserve">Hill q2</w:t>
            </w:r>
          </w:p>
        </w:tc>
        <w:tc>
          <w:tcPr/>
          <w:p>
            <w:pPr>
              <w:pStyle w:val="Compact"/>
            </w:pPr>
            <w:r>
              <w:t xml:space="preserve">1e-4</w:t>
            </w:r>
          </w:p>
        </w:tc>
        <w:tc>
          <w:tcPr/>
          <w:p>
            <w:pPr>
              <w:pStyle w:val="Compact"/>
            </w:pPr>
            <w:r>
              <w:rPr>
                <w:b/>
                <w:bCs/>
              </w:rPr>
              <w:t xml:space="preserve">0.062</w:t>
            </w:r>
          </w:p>
        </w:tc>
        <w:tc>
          <w:tcPr/>
          <w:p>
            <w:pPr>
              <w:pStyle w:val="Compact"/>
            </w:pPr>
            <w:r>
              <w:t xml:space="preserve">0.074</w:t>
            </w:r>
          </w:p>
        </w:tc>
        <w:tc>
          <w:tcPr/>
          <w:p>
            <w:pPr>
              <w:pStyle w:val="Compact"/>
            </w:pPr>
            <w:r>
              <w:rPr>
                <w:b/>
                <w:bCs/>
              </w:rPr>
              <w:t xml:space="preserve">0.114</w:t>
            </w:r>
          </w:p>
        </w:tc>
      </w:tr>
      <w:tr>
        <w:tc>
          <w:tcPr/>
          <w:p>
            <w:pPr>
              <w:pStyle w:val="Compact"/>
            </w:pPr>
            <w:r>
              <w:t xml:space="preserve">Turnover</w:t>
            </w:r>
          </w:p>
        </w:tc>
        <w:tc>
          <w:tcPr/>
          <w:p>
            <w:pPr>
              <w:pStyle w:val="Compact"/>
            </w:pPr>
            <w:r>
              <w:t xml:space="preserve">0.61</w:t>
            </w:r>
          </w:p>
        </w:tc>
        <w:tc>
          <w:tcPr/>
          <w:p>
            <w:pPr>
              <w:pStyle w:val="Compact"/>
            </w:pPr>
            <w:r>
              <w:rPr>
                <w:b/>
                <w:bCs/>
              </w:rPr>
              <w:t xml:space="preserve">0.764</w:t>
            </w:r>
          </w:p>
        </w:tc>
        <w:tc>
          <w:tcPr/>
          <w:p>
            <w:pPr>
              <w:pStyle w:val="Compact"/>
            </w:pPr>
            <w:r>
              <w:t xml:space="preserve">4e-4</w:t>
            </w:r>
          </w:p>
        </w:tc>
        <w:tc>
          <w:tcPr/>
          <w:p>
            <w:pPr>
              <w:pStyle w:val="Compact"/>
            </w:pPr>
            <w:r>
              <w:rPr>
                <w:b/>
                <w:bCs/>
              </w:rPr>
              <w:t xml:space="preserve">0.003</w:t>
            </w:r>
          </w:p>
        </w:tc>
      </w:tr>
      <w:tr>
        <w:tc>
          <w:tcPr/>
          <w:p>
            <w:pPr>
              <w:pStyle w:val="Compact"/>
            </w:pPr>
            <w:r>
              <w:t xml:space="preserve">Nestedness</w:t>
            </w:r>
          </w:p>
        </w:tc>
        <w:tc>
          <w:tcPr/>
          <w:p>
            <w:pPr>
              <w:pStyle w:val="Compact"/>
            </w:pPr>
            <w:r>
              <w:t xml:space="preserve">0.012</w:t>
            </w:r>
          </w:p>
        </w:tc>
        <w:tc>
          <w:tcPr/>
          <w:p>
            <w:pPr>
              <w:pStyle w:val="Compact"/>
            </w:pPr>
            <w:r>
              <w:rPr>
                <w:b/>
                <w:bCs/>
              </w:rPr>
              <w:t xml:space="preserve">0.241</w:t>
            </w:r>
          </w:p>
        </w:tc>
        <w:tc>
          <w:tcPr/>
          <w:p>
            <w:pPr>
              <w:pStyle w:val="Compact"/>
            </w:pPr>
            <w:r>
              <w:t xml:space="preserve">0.071</w:t>
            </w:r>
          </w:p>
        </w:tc>
        <w:tc>
          <w:tcPr/>
          <w:p>
            <w:pPr>
              <w:pStyle w:val="Compact"/>
            </w:pPr>
            <w:r>
              <w:rPr>
                <w:b/>
                <w:bCs/>
              </w:rPr>
              <w:t xml:space="preserve">0.167</w:t>
            </w:r>
          </w:p>
        </w:tc>
      </w:tr>
    </w:tbl>
    <w:p>
      <w:pPr>
        <w:pStyle w:val="BodyText"/>
      </w:pPr>
      <w:r>
        <w:t xml:space="preserve">Only the productivity→turnover increment survives the wild bootstrap; dynamics increments are marginal (alpha) to non-significant (beta). The variance partition (Table S3) is descriptive and unaffected.</w:t>
      </w:r>
    </w:p>
    <w:bookmarkEnd w:id="10"/>
    <w:bookmarkStart w:id="11" w:name="X19d321677a0fb694df770547045db7235e72ed2"/>
    <w:p>
      <w:pPr>
        <w:pStyle w:val="Heading2"/>
      </w:pPr>
      <w:r>
        <w:t xml:space="preserve">Supplementary Table S7 — Productivity–turnover: product-specificity &amp; suppression; simple slopes</w:t>
      </w:r>
    </w:p>
    <w:p>
      <w:pPr>
        <w:pStyle w:val="FirstParagraph"/>
      </w:pPr>
      <w:r>
        <w:t xml:space="preserve">GPP suppression for Turnover (</w:t>
      </w:r>
      <w:r>
        <w:rPr>
          <w:rStyle w:val="VerbatimChar"/>
        </w:rPr>
        <w:t xml:space="preserve">gpp_suppression.csv</w:t>
      </w:r>
      <w:r>
        <w:t xml:space="preserve">): r(MODIS, PML) = 0.75; VIF between products = 2.25.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MODIS b</w:t>
            </w:r>
          </w:p>
        </w:tc>
        <w:tc>
          <w:tcPr/>
          <w:p>
            <w:pPr>
              <w:pStyle w:val="Compact"/>
            </w:pPr>
            <w:r>
              <w:t xml:space="preserve">MODIS p</w:t>
            </w:r>
          </w:p>
        </w:tc>
        <w:tc>
          <w:tcPr/>
          <w:p>
            <w:pPr>
              <w:pStyle w:val="Compact"/>
            </w:pPr>
            <w:r>
              <w:t xml:space="preserve">PML b</w:t>
            </w:r>
          </w:p>
        </w:tc>
        <w:tc>
          <w:tcPr/>
          <w:p>
            <w:pPr>
              <w:pStyle w:val="Compact"/>
            </w:pPr>
            <w:r>
              <w:t xml:space="preserve">PML p</w:t>
            </w:r>
          </w:p>
        </w:tc>
      </w:tr>
      <w:tr>
        <w:tc>
          <w:tcPr/>
          <w:p>
            <w:pPr>
              <w:pStyle w:val="Compact"/>
            </w:pPr>
            <w:r>
              <w:t xml:space="preserve">MODIS only</w:t>
            </w:r>
          </w:p>
        </w:tc>
        <w:tc>
          <w:tcPr/>
          <w:p>
            <w:pPr>
              <w:pStyle w:val="Compact"/>
            </w:pPr>
            <w:r>
              <w:t xml:space="preserve">−0.011</w:t>
            </w:r>
          </w:p>
        </w:tc>
        <w:tc>
          <w:tcPr/>
          <w:p>
            <w:pPr>
              <w:pStyle w:val="Compact"/>
            </w:pPr>
            <w:r>
              <w:t xml:space="preserve">0.70</w:t>
            </w:r>
          </w:p>
        </w:tc>
        <w:tc>
          <w:tcPr/>
          <w:p>
            <w:pPr>
              <w:pStyle w:val="Compact"/>
            </w:pPr>
            <w:r>
              <w:t xml:space="preserve">—</w:t>
            </w:r>
          </w:p>
        </w:tc>
        <w:tc>
          <w:tcPr/>
          <w:p>
            <w:pPr>
              <w:pStyle w:val="Compact"/>
            </w:pPr>
            <w:r>
              <w:t xml:space="preserve">—</w:t>
            </w:r>
          </w:p>
        </w:tc>
      </w:tr>
      <w:tr>
        <w:tc>
          <w:tcPr/>
          <w:p>
            <w:pPr>
              <w:pStyle w:val="Compact"/>
            </w:pPr>
            <w:r>
              <w:t xml:space="preserve">PML only</w:t>
            </w:r>
          </w:p>
        </w:tc>
        <w:tc>
          <w:tcPr/>
          <w:p>
            <w:pPr>
              <w:pStyle w:val="Compact"/>
            </w:pPr>
            <w:r>
              <w:t xml:space="preserve">—</w:t>
            </w:r>
          </w:p>
        </w:tc>
        <w:tc>
          <w:tcPr/>
          <w:p>
            <w:pPr>
              <w:pStyle w:val="Compact"/>
            </w:pPr>
            <w:r>
              <w:t xml:space="preserve">—</w:t>
            </w:r>
          </w:p>
        </w:tc>
        <w:tc>
          <w:tcPr/>
          <w:p>
            <w:pPr>
              <w:pStyle w:val="Compact"/>
            </w:pPr>
            <w:r>
              <w:t xml:space="preserve">+0.067</w:t>
            </w:r>
          </w:p>
        </w:tc>
        <w:tc>
          <w:tcPr/>
          <w:p>
            <w:pPr>
              <w:pStyle w:val="Compact"/>
            </w:pPr>
            <w:r>
              <w:t xml:space="preserve">0.036</w:t>
            </w:r>
          </w:p>
        </w:tc>
      </w:tr>
      <w:tr>
        <w:tc>
          <w:tcPr/>
          <w:p>
            <w:pPr>
              <w:pStyle w:val="Compact"/>
            </w:pPr>
            <w:r>
              <w:t xml:space="preserve">joint</w:t>
            </w:r>
          </w:p>
        </w:tc>
        <w:tc>
          <w:tcPr/>
          <w:p>
            <w:pPr>
              <w:pStyle w:val="Compact"/>
            </w:pPr>
            <w:r>
              <w:t xml:space="preserve">−0.051</w:t>
            </w:r>
          </w:p>
        </w:tc>
        <w:tc>
          <w:tcPr/>
          <w:p>
            <w:pPr>
              <w:pStyle w:val="Compact"/>
            </w:pPr>
            <w:r>
              <w:t xml:space="preserve">—</w:t>
            </w:r>
          </w:p>
        </w:tc>
        <w:tc>
          <w:tcPr/>
          <w:p>
            <w:pPr>
              <w:pStyle w:val="Compact"/>
            </w:pPr>
            <w:r>
              <w:t xml:space="preserve">+0.083</w:t>
            </w:r>
          </w:p>
        </w:tc>
        <w:tc>
          <w:tcPr/>
          <w:p>
            <w:pPr>
              <w:pStyle w:val="Compact"/>
            </w:pPr>
            <w:r>
              <w:t xml:space="preserve">—</w:t>
            </w:r>
          </w:p>
        </w:tc>
      </w:tr>
    </w:tbl>
    <w:p>
      <w:pPr>
        <w:pStyle w:val="BodyText"/>
      </w:pPr>
      <w:r>
        <w:t xml:space="preserve">→ turnover signal is PML-specific; MODIS shows none; joint coefficients oppose (suppression). No directional interpretation.</w:t>
      </w:r>
    </w:p>
    <w:p>
      <w:pPr>
        <w:pStyle w:val="BodyText"/>
      </w:pPr>
      <w:r>
        <w:t xml:space="preserve">Simple slopes (</w:t>
      </w:r>
      <w:r>
        <w:rPr>
          <w:rStyle w:val="VerbatimChar"/>
        </w:rPr>
        <w:t xml:space="preserve">simple_slopes.csv</w:t>
      </w:r>
      <w:r>
        <w:t xml:space="preserve">), Hill q1, ±1 SD moderator:</w:t>
      </w:r>
      <w:r>
        <w:t xml:space="preserve"> </w:t>
      </w:r>
      <w:r>
        <w:t xml:space="preserve">- GPP × stand age: slope = +0.06 (young, p = 0.64), +0.23 (median, p = 0.08), +0.39 (old, p = 0.004).</w:t>
      </w:r>
      <w:r>
        <w:t xml:space="preserve"> </w:t>
      </w:r>
      <w:r>
        <w:t xml:space="preserve">- VCI × severity: slope = +0.48 (low, p &lt; 0.001), +0.35 (median, p &lt; 0.001), +0.22 (high, p = 0.003).</w:t>
      </w:r>
    </w:p>
    <w:bookmarkEnd w:id="11"/>
    <w:bookmarkStart w:id="12" w:name="Xe9c6dfdfb57c3e0437cb96ed78558a006c100e9"/>
    <w:p>
      <w:pPr>
        <w:pStyle w:val="Heading2"/>
      </w:pPr>
      <w:r>
        <w:t xml:space="preserve">Supplementary Table S1 — Raw vs log-transformed responses (nested LRT p)</w:t>
      </w:r>
    </w:p>
    <w:p>
      <w:pPr>
        <w:pStyle w:val="FirstParagraph"/>
      </w:pPr>
      <w:r>
        <w:t xml:space="preserve">Hill numbers log-transformed (satisfies homoscedasticity/normality: Breusch–Pagan p &gt; 0.4, Shapiro p &gt; 0.2); conclusions identical to raw scale.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response</w:t>
            </w:r>
          </w:p>
        </w:tc>
        <w:tc>
          <w:tcPr/>
          <w:p>
            <w:pPr>
              <w:pStyle w:val="Compact"/>
            </w:pPr>
            <w:r>
              <w:t xml:space="preserve">dynamics (M1→M2) raw</w:t>
            </w:r>
          </w:p>
        </w:tc>
        <w:tc>
          <w:tcPr/>
          <w:p>
            <w:pPr>
              <w:pStyle w:val="Compact"/>
            </w:pPr>
            <w:r>
              <w:t xml:space="preserve">log</w:t>
            </w:r>
          </w:p>
        </w:tc>
        <w:tc>
          <w:tcPr/>
          <w:p>
            <w:pPr>
              <w:pStyle w:val="Compact"/>
            </w:pPr>
            <w:r>
              <w:t xml:space="preserve">function (M2→M3) raw</w:t>
            </w:r>
          </w:p>
        </w:tc>
        <w:tc>
          <w:tcPr/>
          <w:p>
            <w:pPr>
              <w:pStyle w:val="Compact"/>
            </w:pPr>
            <w:r>
              <w:t xml:space="preserve">log</w:t>
            </w:r>
          </w:p>
        </w:tc>
      </w:tr>
      <w:tr>
        <w:tc>
          <w:tcPr/>
          <w:p>
            <w:pPr>
              <w:pStyle w:val="Compact"/>
            </w:pPr>
            <w:r>
              <w:t xml:space="preserve">Hill q1</w:t>
            </w:r>
          </w:p>
        </w:tc>
        <w:tc>
          <w:tcPr/>
          <w:p>
            <w:pPr>
              <w:pStyle w:val="Compact"/>
            </w:pPr>
            <w:r>
              <w:t xml:space="preserve">3.5e-11</w:t>
            </w:r>
          </w:p>
        </w:tc>
        <w:tc>
          <w:tcPr/>
          <w:p>
            <w:pPr>
              <w:pStyle w:val="Compact"/>
            </w:pPr>
            <w:r>
              <w:t xml:space="preserve">2.2e-13</w:t>
            </w:r>
          </w:p>
        </w:tc>
        <w:tc>
          <w:tcPr/>
          <w:p>
            <w:pPr>
              <w:pStyle w:val="Compact"/>
            </w:pPr>
            <w:r>
              <w:t xml:space="preserve">0.019</w:t>
            </w:r>
          </w:p>
        </w:tc>
        <w:tc>
          <w:tcPr/>
          <w:p>
            <w:pPr>
              <w:pStyle w:val="Compact"/>
            </w:pPr>
            <w:r>
              <w:t xml:space="preserve">0.009</w:t>
            </w:r>
          </w:p>
        </w:tc>
      </w:tr>
      <w:tr>
        <w:tc>
          <w:tcPr/>
          <w:p>
            <w:pPr>
              <w:pStyle w:val="Compact"/>
            </w:pPr>
            <w:r>
              <w:t xml:space="preserve">Hill q2</w:t>
            </w:r>
          </w:p>
        </w:tc>
        <w:tc>
          <w:tcPr/>
          <w:p>
            <w:pPr>
              <w:pStyle w:val="Compact"/>
            </w:pPr>
            <w:r>
              <w:t xml:space="preserve">4.9e-09</w:t>
            </w:r>
          </w:p>
        </w:tc>
        <w:tc>
          <w:tcPr/>
          <w:p>
            <w:pPr>
              <w:pStyle w:val="Compact"/>
            </w:pPr>
            <w:r>
              <w:t xml:space="preserve">3.4e-12</w:t>
            </w:r>
          </w:p>
        </w:tc>
        <w:tc>
          <w:tcPr/>
          <w:p>
            <w:pPr>
              <w:pStyle w:val="Compact"/>
            </w:pPr>
            <w:r>
              <w:t xml:space="preserve">0.032</w:t>
            </w:r>
          </w:p>
        </w:tc>
        <w:tc>
          <w:tcPr/>
          <w:p>
            <w:pPr>
              <w:pStyle w:val="Compact"/>
            </w:pPr>
            <w:r>
              <w:t xml:space="preserve">0.018</w:t>
            </w:r>
          </w:p>
        </w:tc>
      </w:tr>
    </w:tbl>
    <w:bookmarkEnd w:id="12"/>
    <w:bookmarkStart w:id="13" w:name="Xa664aa0226cbd35b8d1c20bc3ea7e182fef0e83"/>
    <w:p>
      <w:pPr>
        <w:pStyle w:val="Heading2"/>
      </w:pPr>
      <w:r>
        <w:t xml:space="preserve">Supplementary Table S2 — Beta components: Gaussian OLS vs beta regression (nested LRT p)</w:t>
      </w:r>
    </w:p>
    <w:p>
      <w:pPr>
        <w:pStyle w:val="FirstParagraph"/>
      </w:pPr>
      <w:r>
        <w:t xml:space="preserve">The beta components are bounded proportions; beta regression as robustness. Conclusions identical except the nestedness productivity increment (bold), reported conservatively from the Gaussian model in the main 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model</w:t>
            </w:r>
          </w:p>
        </w:tc>
        <w:tc>
          <w:tcPr/>
          <w:p>
            <w:pPr>
              <w:pStyle w:val="Compact"/>
            </w:pPr>
            <w:r>
              <w:t xml:space="preserve">dynamics (M1→M2)</w:t>
            </w:r>
          </w:p>
        </w:tc>
        <w:tc>
          <w:tcPr/>
          <w:p>
            <w:pPr>
              <w:pStyle w:val="Compact"/>
            </w:pPr>
            <w:r>
              <w:t xml:space="preserve">function (M2→M3)</w:t>
            </w:r>
          </w:p>
        </w:tc>
      </w:tr>
      <w:tr>
        <w:tc>
          <w:tcPr/>
          <w:p>
            <w:pPr>
              <w:pStyle w:val="Compact"/>
            </w:pPr>
            <w:r>
              <w:t xml:space="preserve">turnover</w:t>
            </w:r>
          </w:p>
        </w:tc>
        <w:tc>
          <w:tcPr/>
          <w:p>
            <w:pPr>
              <w:pStyle w:val="Compact"/>
            </w:pPr>
            <w:r>
              <w:t xml:space="preserve">OLS</w:t>
            </w:r>
          </w:p>
        </w:tc>
        <w:tc>
          <w:tcPr/>
          <w:p>
            <w:pPr>
              <w:pStyle w:val="Compact"/>
            </w:pPr>
            <w:r>
              <w:t xml:space="preserve">0.0011</w:t>
            </w:r>
          </w:p>
        </w:tc>
        <w:tc>
          <w:tcPr/>
          <w:p>
            <w:pPr>
              <w:pStyle w:val="Compact"/>
            </w:pPr>
            <w:r>
              <w:t xml:space="preserve">8.3e-07</w:t>
            </w:r>
          </w:p>
        </w:tc>
      </w:tr>
      <w:tr>
        <w:tc>
          <w:tcPr/>
          <w:p>
            <w:pPr>
              <w:pStyle w:val="Compact"/>
            </w:pPr>
            <w:r>
              <w:t xml:space="preserve">turnover</w:t>
            </w:r>
          </w:p>
        </w:tc>
        <w:tc>
          <w:tcPr/>
          <w:p>
            <w:pPr>
              <w:pStyle w:val="Compact"/>
            </w:pPr>
            <w:r>
              <w:t xml:space="preserve">beta-reg</w:t>
            </w:r>
          </w:p>
        </w:tc>
        <w:tc>
          <w:tcPr/>
          <w:p>
            <w:pPr>
              <w:pStyle w:val="Compact"/>
            </w:pPr>
            <w:r>
              <w:t xml:space="preserve">2.6e-07</w:t>
            </w:r>
          </w:p>
        </w:tc>
        <w:tc>
          <w:tcPr/>
          <w:p>
            <w:pPr>
              <w:pStyle w:val="Compact"/>
            </w:pPr>
            <w:r>
              <w:t xml:space="preserve">3.3e-05</w:t>
            </w:r>
          </w:p>
        </w:tc>
      </w:tr>
      <w:tr>
        <w:tc>
          <w:tcPr/>
          <w:p>
            <w:pPr>
              <w:pStyle w:val="Compact"/>
            </w:pPr>
            <w:r>
              <w:t xml:space="preserve">nestedness</w:t>
            </w:r>
          </w:p>
        </w:tc>
        <w:tc>
          <w:tcPr/>
          <w:p>
            <w:pPr>
              <w:pStyle w:val="Compact"/>
            </w:pPr>
            <w:r>
              <w:t xml:space="preserve">OLS</w:t>
            </w:r>
          </w:p>
        </w:tc>
        <w:tc>
          <w:tcPr/>
          <w:p>
            <w:pPr>
              <w:pStyle w:val="Compact"/>
            </w:pPr>
            <w:r>
              <w:t xml:space="preserve">9.3e-07</w:t>
            </w:r>
          </w:p>
        </w:tc>
        <w:tc>
          <w:tcPr/>
          <w:p>
            <w:pPr>
              <w:pStyle w:val="Compact"/>
            </w:pPr>
            <w:r>
              <w:rPr>
                <w:b/>
                <w:bCs/>
              </w:rPr>
              <w:t xml:space="preserve">0.094 (n.s.)</w:t>
            </w:r>
          </w:p>
        </w:tc>
      </w:tr>
      <w:tr>
        <w:tc>
          <w:tcPr/>
          <w:p>
            <w:pPr>
              <w:pStyle w:val="Compact"/>
            </w:pPr>
            <w:r>
              <w:t xml:space="preserve">nestedness</w:t>
            </w:r>
          </w:p>
        </w:tc>
        <w:tc>
          <w:tcPr/>
          <w:p>
            <w:pPr>
              <w:pStyle w:val="Compact"/>
            </w:pPr>
            <w:r>
              <w:t xml:space="preserve">beta-reg</w:t>
            </w:r>
          </w:p>
        </w:tc>
        <w:tc>
          <w:tcPr/>
          <w:p>
            <w:pPr>
              <w:pStyle w:val="Compact"/>
            </w:pPr>
            <w:r>
              <w:t xml:space="preserve">6.2e-12</w:t>
            </w:r>
          </w:p>
        </w:tc>
        <w:tc>
          <w:tcPr/>
          <w:p>
            <w:pPr>
              <w:pStyle w:val="Compact"/>
            </w:pPr>
            <w:r>
              <w:rPr>
                <w:b/>
                <w:bCs/>
              </w:rPr>
              <w:t xml:space="preserve">0.028 (sig.)</w:t>
            </w:r>
          </w:p>
        </w:tc>
      </w:tr>
    </w:tbl>
    <w:bookmarkEnd w:id="13"/>
    <w:bookmarkStart w:id="14" w:name="Xb0653c994e1b30c7c9f50ec9343644a26729d17"/>
    <w:p>
      <w:pPr>
        <w:pStyle w:val="Heading2"/>
      </w:pPr>
      <w:r>
        <w:t xml:space="preserve">Supplementary Table S3 — Commonality analysis (shared variance beyond domain)</w:t>
      </w:r>
    </w:p>
    <w:p>
      <w:pPr>
        <w:pStyle w:val="FirstParagraph"/>
      </w:pPr>
      <w:r>
        <w:t xml:space="preserve">Main text reports unique (semi-partial R²); shared fractions here. Source:</w:t>
      </w:r>
      <w:r>
        <w:t xml:space="preserve"> </w:t>
      </w:r>
      <w:r>
        <w:rPr>
          <w:rStyle w:val="VerbatimChar"/>
        </w:rPr>
        <w:t xml:space="preserve">results/O0_framework/variance_partition.csv</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response</w:t>
            </w:r>
          </w:p>
        </w:tc>
        <w:tc>
          <w:tcPr/>
          <w:p>
            <w:pPr>
              <w:pStyle w:val="Compact"/>
            </w:pPr>
            <w:r>
              <w:t xml:space="preserve">unique structure</w:t>
            </w:r>
          </w:p>
        </w:tc>
        <w:tc>
          <w:tcPr/>
          <w:p>
            <w:pPr>
              <w:pStyle w:val="Compact"/>
            </w:pPr>
            <w:r>
              <w:t xml:space="preserve">unique spectral</w:t>
            </w:r>
          </w:p>
        </w:tc>
        <w:tc>
          <w:tcPr/>
          <w:p>
            <w:pPr>
              <w:pStyle w:val="Compact"/>
            </w:pPr>
            <w:r>
              <w:t xml:space="preserve">unique dynamics</w:t>
            </w:r>
          </w:p>
        </w:tc>
        <w:tc>
          <w:tcPr/>
          <w:p>
            <w:pPr>
              <w:pStyle w:val="Compact"/>
            </w:pPr>
            <w:r>
              <w:t xml:space="preserve">unique productivity</w:t>
            </w:r>
          </w:p>
        </w:tc>
        <w:tc>
          <w:tcPr/>
          <w:p>
            <w:pPr>
              <w:pStyle w:val="Compact"/>
            </w:pPr>
            <w:r>
              <w:t xml:space="preserve">shared</w:t>
            </w:r>
          </w:p>
        </w:tc>
      </w:tr>
      <w:tr>
        <w:tc>
          <w:tcPr/>
          <w:p>
            <w:pPr>
              <w:pStyle w:val="Compact"/>
            </w:pPr>
            <w:r>
              <w:t xml:space="preserve">Hill q1</w:t>
            </w:r>
          </w:p>
        </w:tc>
        <w:tc>
          <w:tcPr/>
          <w:p>
            <w:pPr>
              <w:pStyle w:val="Compact"/>
            </w:pPr>
            <w:r>
              <w:t xml:space="preserve">0.106</w:t>
            </w:r>
          </w:p>
        </w:tc>
        <w:tc>
          <w:tcPr/>
          <w:p>
            <w:pPr>
              <w:pStyle w:val="Compact"/>
            </w:pPr>
            <w:r>
              <w:t xml:space="preserve">0.010</w:t>
            </w:r>
          </w:p>
        </w:tc>
        <w:tc>
          <w:tcPr/>
          <w:p>
            <w:pPr>
              <w:pStyle w:val="Compact"/>
            </w:pPr>
            <w:r>
              <w:t xml:space="preserve">0.069</w:t>
            </w:r>
          </w:p>
        </w:tc>
        <w:tc>
          <w:tcPr/>
          <w:p>
            <w:pPr>
              <w:pStyle w:val="Compact"/>
            </w:pPr>
            <w:r>
              <w:t xml:space="preserve">0.008</w:t>
            </w:r>
          </w:p>
        </w:tc>
        <w:tc>
          <w:tcPr/>
          <w:p>
            <w:pPr>
              <w:pStyle w:val="Compact"/>
            </w:pPr>
            <w:r>
              <w:t xml:space="preserve">0.016</w:t>
            </w:r>
          </w:p>
        </w:tc>
      </w:tr>
      <w:tr>
        <w:tc>
          <w:tcPr/>
          <w:p>
            <w:pPr>
              <w:pStyle w:val="Compact"/>
            </w:pPr>
            <w:r>
              <w:t xml:space="preserve">Hill q2</w:t>
            </w:r>
          </w:p>
        </w:tc>
        <w:tc>
          <w:tcPr/>
          <w:p>
            <w:pPr>
              <w:pStyle w:val="Compact"/>
            </w:pPr>
            <w:r>
              <w:t xml:space="preserve">0.105</w:t>
            </w:r>
          </w:p>
        </w:tc>
        <w:tc>
          <w:tcPr/>
          <w:p>
            <w:pPr>
              <w:pStyle w:val="Compact"/>
            </w:pPr>
            <w:r>
              <w:t xml:space="preserve">0.013</w:t>
            </w:r>
          </w:p>
        </w:tc>
        <w:tc>
          <w:tcPr/>
          <w:p>
            <w:pPr>
              <w:pStyle w:val="Compact"/>
            </w:pPr>
            <w:r>
              <w:t xml:space="preserve">0.070</w:t>
            </w:r>
          </w:p>
        </w:tc>
        <w:tc>
          <w:tcPr/>
          <w:p>
            <w:pPr>
              <w:pStyle w:val="Compact"/>
            </w:pPr>
            <w:r>
              <w:t xml:space="preserve">0.008</w:t>
            </w:r>
          </w:p>
        </w:tc>
        <w:tc>
          <w:tcPr/>
          <w:p>
            <w:pPr>
              <w:pStyle w:val="Compact"/>
            </w:pPr>
            <w:r>
              <w:t xml:space="preserve">0.013</w:t>
            </w:r>
          </w:p>
        </w:tc>
      </w:tr>
      <w:tr>
        <w:tc>
          <w:tcPr/>
          <w:p>
            <w:pPr>
              <w:pStyle w:val="Compact"/>
            </w:pPr>
            <w:r>
              <w:t xml:space="preserve">Turnover</w:t>
            </w:r>
          </w:p>
        </w:tc>
        <w:tc>
          <w:tcPr/>
          <w:p>
            <w:pPr>
              <w:pStyle w:val="Compact"/>
            </w:pPr>
            <w:r>
              <w:t xml:space="preserve">0.020</w:t>
            </w:r>
          </w:p>
        </w:tc>
        <w:tc>
          <w:tcPr/>
          <w:p>
            <w:pPr>
              <w:pStyle w:val="Compact"/>
            </w:pPr>
            <w:r>
              <w:t xml:space="preserve">0.005</w:t>
            </w:r>
          </w:p>
        </w:tc>
        <w:tc>
          <w:tcPr/>
          <w:p>
            <w:pPr>
              <w:pStyle w:val="Compact"/>
            </w:pPr>
            <w:r>
              <w:t xml:space="preserve">0.017</w:t>
            </w:r>
          </w:p>
        </w:tc>
        <w:tc>
          <w:tcPr/>
          <w:p>
            <w:pPr>
              <w:pStyle w:val="Compact"/>
            </w:pPr>
            <w:r>
              <w:t xml:space="preserve">0.029</w:t>
            </w:r>
          </w:p>
        </w:tc>
        <w:tc>
          <w:tcPr/>
          <w:p>
            <w:pPr>
              <w:pStyle w:val="Compact"/>
            </w:pPr>
            <w:r>
              <w:t xml:space="preserve">0.011</w:t>
            </w:r>
          </w:p>
        </w:tc>
      </w:tr>
      <w:tr>
        <w:tc>
          <w:tcPr/>
          <w:p>
            <w:pPr>
              <w:pStyle w:val="Compact"/>
            </w:pPr>
            <w:r>
              <w:t xml:space="preserve">Nestedness</w:t>
            </w:r>
          </w:p>
        </w:tc>
        <w:tc>
          <w:tcPr/>
          <w:p>
            <w:pPr>
              <w:pStyle w:val="Compact"/>
            </w:pPr>
            <w:r>
              <w:t xml:space="preserve">0.049</w:t>
            </w:r>
          </w:p>
        </w:tc>
        <w:tc>
          <w:tcPr/>
          <w:p>
            <w:pPr>
              <w:pStyle w:val="Compact"/>
            </w:pPr>
            <w:r>
              <w:t xml:space="preserve">0.001</w:t>
            </w:r>
          </w:p>
        </w:tc>
        <w:tc>
          <w:tcPr/>
          <w:p>
            <w:pPr>
              <w:pStyle w:val="Compact"/>
            </w:pPr>
            <w:r>
              <w:t xml:space="preserve">0.071</w:t>
            </w:r>
          </w:p>
        </w:tc>
        <w:tc>
          <w:tcPr/>
          <w:p>
            <w:pPr>
              <w:pStyle w:val="Compact"/>
            </w:pPr>
            <w:r>
              <w:t xml:space="preserve">0.008</w:t>
            </w:r>
          </w:p>
        </w:tc>
        <w:tc>
          <w:tcPr/>
          <w:p>
            <w:pPr>
              <w:pStyle w:val="Compact"/>
            </w:pPr>
            <w:r>
              <w:t xml:space="preserve">0.021</w:t>
            </w:r>
          </w:p>
        </w:tc>
      </w:tr>
    </w:tbl>
    <w:bookmarkEnd w:id="14"/>
    <w:bookmarkStart w:id="15" w:name="X23e488279966c549e274f075baa36186ad288af"/>
    <w:p>
      <w:pPr>
        <w:pStyle w:val="Heading2"/>
      </w:pPr>
      <w:r>
        <w:t xml:space="preserve">Supplementary Table S6 — Context interactions (framework predictors, cluster-robust, BH per family)</w:t>
      </w:r>
    </w:p>
    <w:p>
      <w:pPr>
        <w:pStyle w:val="FirstParagraph"/>
      </w:pPr>
      <w:r>
        <w:t xml:space="preserve">Same retained predictors as the nested models (4 structure + EVI + 2 GPP) × context. 168 terms; 11 survive BH. Script</w:t>
      </w:r>
      <w:r>
        <w:t xml:space="preserve"> </w:t>
      </w:r>
      <w:r>
        <w:rPr>
          <w:rStyle w:val="VerbatimChar"/>
        </w:rPr>
        <w:t xml:space="preserve">158_o4_consistent.py</w:t>
      </w:r>
      <w:r>
        <w:t xml:space="preserve">; full table</w:t>
      </w:r>
      <w:r>
        <w:t xml:space="preserve"> </w:t>
      </w:r>
      <w:r>
        <w:rPr>
          <w:rStyle w:val="VerbatimChar"/>
        </w:rPr>
        <w:t xml:space="preserve">results/O0_framework/o4_interactions_consistent.csv</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family</w:t>
            </w:r>
          </w:p>
        </w:tc>
        <w:tc>
          <w:tcPr/>
          <w:p>
            <w:pPr>
              <w:pStyle w:val="Compact"/>
            </w:pPr>
            <w:r>
              <w:t xml:space="preserve">context</w:t>
            </w:r>
          </w:p>
        </w:tc>
        <w:tc>
          <w:tcPr/>
          <w:p>
            <w:pPr>
              <w:pStyle w:val="Compact"/>
            </w:pPr>
            <w:r>
              <w:t xml:space="preserve">response</w:t>
            </w:r>
          </w:p>
        </w:tc>
        <w:tc>
          <w:tcPr/>
          <w:p>
            <w:pPr>
              <w:pStyle w:val="Compact"/>
            </w:pPr>
            <w:r>
              <w:t xml:space="preserve">predictor</w:t>
            </w:r>
          </w:p>
        </w:tc>
        <w:tc>
          <w:tcPr/>
          <w:p>
            <w:pPr>
              <w:pStyle w:val="Compact"/>
            </w:pPr>
            <w:r>
              <w:t xml:space="preserve">β interaction</w:t>
            </w:r>
          </w:p>
        </w:tc>
        <w:tc>
          <w:tcPr/>
          <w:p>
            <w:pPr>
              <w:pStyle w:val="Compact"/>
            </w:pPr>
            <w:r>
              <w:t xml:space="preserve">q</w:t>
            </w:r>
          </w:p>
        </w:tc>
      </w:tr>
      <w:tr>
        <w:tc>
          <w:tcPr/>
          <w:p>
            <w:pPr>
              <w:pStyle w:val="Compact"/>
            </w:pPr>
            <w:r>
              <w:t xml:space="preserve">stand age</w:t>
            </w:r>
          </w:p>
        </w:tc>
        <w:tc>
          <w:tcPr/>
          <w:p>
            <w:pPr>
              <w:pStyle w:val="Compact"/>
            </w:pPr>
            <w:r>
              <w:t xml:space="preserve">stand_age</w:t>
            </w:r>
          </w:p>
        </w:tc>
        <w:tc>
          <w:tcPr/>
          <w:p>
            <w:pPr>
              <w:pStyle w:val="Compact"/>
            </w:pPr>
            <w:r>
              <w:t xml:space="preserve">Hill q1</w:t>
            </w:r>
          </w:p>
        </w:tc>
        <w:tc>
          <w:tcPr/>
          <w:p>
            <w:pPr>
              <w:pStyle w:val="Compact"/>
            </w:pPr>
            <w:r>
              <w:t xml:space="preserve">MODIS GPP</w:t>
            </w:r>
          </w:p>
        </w:tc>
        <w:tc>
          <w:tcPr/>
          <w:p>
            <w:pPr>
              <w:pStyle w:val="Compact"/>
            </w:pPr>
            <w:r>
              <w:t xml:space="preserve">+0.093</w:t>
            </w:r>
          </w:p>
        </w:tc>
        <w:tc>
          <w:tcPr/>
          <w:p>
            <w:pPr>
              <w:pStyle w:val="Compact"/>
            </w:pPr>
            <w:r>
              <w:t xml:space="preserve">0.008</w:t>
            </w:r>
          </w:p>
        </w:tc>
      </w:tr>
      <w:tr>
        <w:tc>
          <w:tcPr/>
          <w:p>
            <w:pPr>
              <w:pStyle w:val="Compact"/>
            </w:pPr>
            <w:r>
              <w:t xml:space="preserve">stand age</w:t>
            </w:r>
          </w:p>
        </w:tc>
        <w:tc>
          <w:tcPr/>
          <w:p>
            <w:pPr>
              <w:pStyle w:val="Compact"/>
            </w:pPr>
            <w:r>
              <w:t xml:space="preserve">stand_age</w:t>
            </w:r>
          </w:p>
        </w:tc>
        <w:tc>
          <w:tcPr/>
          <w:p>
            <w:pPr>
              <w:pStyle w:val="Compact"/>
            </w:pPr>
            <w:r>
              <w:t xml:space="preserve">Hill q1</w:t>
            </w:r>
          </w:p>
        </w:tc>
        <w:tc>
          <w:tcPr/>
          <w:p>
            <w:pPr>
              <w:pStyle w:val="Compact"/>
            </w:pPr>
            <w:r>
              <w:t xml:space="preserve">PML GPP</w:t>
            </w:r>
          </w:p>
        </w:tc>
        <w:tc>
          <w:tcPr/>
          <w:p>
            <w:pPr>
              <w:pStyle w:val="Compact"/>
            </w:pPr>
            <w:r>
              <w:t xml:space="preserve">+0.063</w:t>
            </w:r>
          </w:p>
        </w:tc>
        <w:tc>
          <w:tcPr/>
          <w:p>
            <w:pPr>
              <w:pStyle w:val="Compact"/>
            </w:pPr>
            <w:r>
              <w:t xml:space="preserve">0.013</w:t>
            </w:r>
          </w:p>
        </w:tc>
      </w:tr>
      <w:tr>
        <w:tc>
          <w:tcPr/>
          <w:p>
            <w:pPr>
              <w:pStyle w:val="Compact"/>
            </w:pPr>
            <w:r>
              <w:t xml:space="preserve">stand age</w:t>
            </w:r>
          </w:p>
        </w:tc>
        <w:tc>
          <w:tcPr/>
          <w:p>
            <w:pPr>
              <w:pStyle w:val="Compact"/>
            </w:pPr>
            <w:r>
              <w:t xml:space="preserve">stand_age</w:t>
            </w:r>
          </w:p>
        </w:tc>
        <w:tc>
          <w:tcPr/>
          <w:p>
            <w:pPr>
              <w:pStyle w:val="Compact"/>
            </w:pPr>
            <w:r>
              <w:t xml:space="preserve">Hill q2</w:t>
            </w:r>
          </w:p>
        </w:tc>
        <w:tc>
          <w:tcPr/>
          <w:p>
            <w:pPr>
              <w:pStyle w:val="Compact"/>
            </w:pPr>
            <w:r>
              <w:t xml:space="preserve">MODIS GPP</w:t>
            </w:r>
          </w:p>
        </w:tc>
        <w:tc>
          <w:tcPr/>
          <w:p>
            <w:pPr>
              <w:pStyle w:val="Compact"/>
            </w:pPr>
            <w:r>
              <w:t xml:space="preserve">+0.084</w:t>
            </w:r>
          </w:p>
        </w:tc>
        <w:tc>
          <w:tcPr/>
          <w:p>
            <w:pPr>
              <w:pStyle w:val="Compact"/>
            </w:pPr>
            <w:r>
              <w:t xml:space="preserve">0.008</w:t>
            </w:r>
          </w:p>
        </w:tc>
      </w:tr>
      <w:tr>
        <w:tc>
          <w:tcPr/>
          <w:p>
            <w:pPr>
              <w:pStyle w:val="Compact"/>
            </w:pPr>
            <w:r>
              <w:t xml:space="preserve">stand age</w:t>
            </w:r>
          </w:p>
        </w:tc>
        <w:tc>
          <w:tcPr/>
          <w:p>
            <w:pPr>
              <w:pStyle w:val="Compact"/>
            </w:pPr>
            <w:r>
              <w:t xml:space="preserve">stand_age</w:t>
            </w:r>
          </w:p>
        </w:tc>
        <w:tc>
          <w:tcPr/>
          <w:p>
            <w:pPr>
              <w:pStyle w:val="Compact"/>
            </w:pPr>
            <w:r>
              <w:t xml:space="preserve">Hill q2</w:t>
            </w:r>
          </w:p>
        </w:tc>
        <w:tc>
          <w:tcPr/>
          <w:p>
            <w:pPr>
              <w:pStyle w:val="Compact"/>
            </w:pPr>
            <w:r>
              <w:t xml:space="preserve">PML GPP</w:t>
            </w:r>
          </w:p>
        </w:tc>
        <w:tc>
          <w:tcPr/>
          <w:p>
            <w:pPr>
              <w:pStyle w:val="Compact"/>
            </w:pPr>
            <w:r>
              <w:t xml:space="preserve">+0.056</w:t>
            </w:r>
          </w:p>
        </w:tc>
        <w:tc>
          <w:tcPr/>
          <w:p>
            <w:pPr>
              <w:pStyle w:val="Compact"/>
            </w:pPr>
            <w:r>
              <w:t xml:space="preserve">0.017</w:t>
            </w:r>
          </w:p>
        </w:tc>
      </w:tr>
      <w:tr>
        <w:tc>
          <w:tcPr/>
          <w:p>
            <w:pPr>
              <w:pStyle w:val="Compact"/>
            </w:pPr>
            <w:r>
              <w:t xml:space="preserve">disturbance</w:t>
            </w:r>
          </w:p>
        </w:tc>
        <w:tc>
          <w:tcPr/>
          <w:p>
            <w:pPr>
              <w:pStyle w:val="Compact"/>
            </w:pPr>
            <w:r>
              <w:t xml:space="preserve">severity</w:t>
            </w:r>
          </w:p>
        </w:tc>
        <w:tc>
          <w:tcPr/>
          <w:p>
            <w:pPr>
              <w:pStyle w:val="Compact"/>
            </w:pPr>
            <w:r>
              <w:t xml:space="preserve">Hill q1</w:t>
            </w:r>
          </w:p>
        </w:tc>
        <w:tc>
          <w:tcPr/>
          <w:p>
            <w:pPr>
              <w:pStyle w:val="Compact"/>
            </w:pPr>
            <w:r>
              <w:t xml:space="preserve">VCI</w:t>
            </w:r>
          </w:p>
        </w:tc>
        <w:tc>
          <w:tcPr/>
          <w:p>
            <w:pPr>
              <w:pStyle w:val="Compact"/>
            </w:pPr>
            <w:r>
              <w:t xml:space="preserve">−0.078</w:t>
            </w:r>
          </w:p>
        </w:tc>
        <w:tc>
          <w:tcPr/>
          <w:p>
            <w:pPr>
              <w:pStyle w:val="Compact"/>
            </w:pPr>
            <w:r>
              <w:t xml:space="preserve">0.021</w:t>
            </w:r>
          </w:p>
        </w:tc>
      </w:tr>
      <w:tr>
        <w:tc>
          <w:tcPr/>
          <w:p>
            <w:pPr>
              <w:pStyle w:val="Compact"/>
            </w:pPr>
            <w:r>
              <w:t xml:space="preserve">disturbance</w:t>
            </w:r>
          </w:p>
        </w:tc>
        <w:tc>
          <w:tcPr/>
          <w:p>
            <w:pPr>
              <w:pStyle w:val="Compact"/>
            </w:pPr>
            <w:r>
              <w:t xml:space="preserve">severity</w:t>
            </w:r>
          </w:p>
        </w:tc>
        <w:tc>
          <w:tcPr/>
          <w:p>
            <w:pPr>
              <w:pStyle w:val="Compact"/>
            </w:pPr>
            <w:r>
              <w:t xml:space="preserve">Hill q1</w:t>
            </w:r>
          </w:p>
        </w:tc>
        <w:tc>
          <w:tcPr/>
          <w:p>
            <w:pPr>
              <w:pStyle w:val="Compact"/>
            </w:pPr>
            <w:r>
              <w:t xml:space="preserve">LAI</w:t>
            </w:r>
          </w:p>
        </w:tc>
        <w:tc>
          <w:tcPr/>
          <w:p>
            <w:pPr>
              <w:pStyle w:val="Compact"/>
            </w:pPr>
            <w:r>
              <w:t xml:space="preserve">−0.112</w:t>
            </w:r>
          </w:p>
        </w:tc>
        <w:tc>
          <w:tcPr/>
          <w:p>
            <w:pPr>
              <w:pStyle w:val="Compact"/>
            </w:pPr>
            <w:r>
              <w:t xml:space="preserve">0.028</w:t>
            </w:r>
          </w:p>
        </w:tc>
      </w:tr>
      <w:tr>
        <w:tc>
          <w:tcPr/>
          <w:p>
            <w:pPr>
              <w:pStyle w:val="Compact"/>
            </w:pPr>
            <w:r>
              <w:t xml:space="preserve">disturbance</w:t>
            </w:r>
          </w:p>
        </w:tc>
        <w:tc>
          <w:tcPr/>
          <w:p>
            <w:pPr>
              <w:pStyle w:val="Compact"/>
            </w:pPr>
            <w:r>
              <w:t xml:space="preserve">severity</w:t>
            </w:r>
          </w:p>
        </w:tc>
        <w:tc>
          <w:tcPr/>
          <w:p>
            <w:pPr>
              <w:pStyle w:val="Compact"/>
            </w:pPr>
            <w:r>
              <w:t xml:space="preserve">Hill q2</w:t>
            </w:r>
          </w:p>
        </w:tc>
        <w:tc>
          <w:tcPr/>
          <w:p>
            <w:pPr>
              <w:pStyle w:val="Compact"/>
            </w:pPr>
            <w:r>
              <w:t xml:space="preserve">VCI</w:t>
            </w:r>
          </w:p>
        </w:tc>
        <w:tc>
          <w:tcPr/>
          <w:p>
            <w:pPr>
              <w:pStyle w:val="Compact"/>
            </w:pPr>
            <w:r>
              <w:t xml:space="preserve">−0.067</w:t>
            </w:r>
          </w:p>
        </w:tc>
        <w:tc>
          <w:tcPr/>
          <w:p>
            <w:pPr>
              <w:pStyle w:val="Compact"/>
            </w:pPr>
            <w:r>
              <w:t xml:space="preserve">0.022</w:t>
            </w:r>
          </w:p>
        </w:tc>
      </w:tr>
      <w:tr>
        <w:tc>
          <w:tcPr/>
          <w:p>
            <w:pPr>
              <w:pStyle w:val="Compact"/>
            </w:pPr>
            <w:r>
              <w:t xml:space="preserve">disturbance</w:t>
            </w:r>
          </w:p>
        </w:tc>
        <w:tc>
          <w:tcPr/>
          <w:p>
            <w:pPr>
              <w:pStyle w:val="Compact"/>
            </w:pPr>
            <w:r>
              <w:t xml:space="preserve">severity</w:t>
            </w:r>
          </w:p>
        </w:tc>
        <w:tc>
          <w:tcPr/>
          <w:p>
            <w:pPr>
              <w:pStyle w:val="Compact"/>
            </w:pPr>
            <w:r>
              <w:t xml:space="preserve">Hill q2</w:t>
            </w:r>
          </w:p>
        </w:tc>
        <w:tc>
          <w:tcPr/>
          <w:p>
            <w:pPr>
              <w:pStyle w:val="Compact"/>
            </w:pPr>
            <w:r>
              <w:t xml:space="preserve">LAI</w:t>
            </w:r>
          </w:p>
        </w:tc>
        <w:tc>
          <w:tcPr/>
          <w:p>
            <w:pPr>
              <w:pStyle w:val="Compact"/>
            </w:pPr>
            <w:r>
              <w:t xml:space="preserve">−0.109</w:t>
            </w:r>
          </w:p>
        </w:tc>
        <w:tc>
          <w:tcPr/>
          <w:p>
            <w:pPr>
              <w:pStyle w:val="Compact"/>
            </w:pPr>
            <w:r>
              <w:t xml:space="preserve">0.022</w:t>
            </w:r>
          </w:p>
        </w:tc>
      </w:tr>
      <w:tr>
        <w:tc>
          <w:tcPr/>
          <w:p>
            <w:pPr>
              <w:pStyle w:val="Compact"/>
            </w:pPr>
            <w:r>
              <w:t xml:space="preserve">disturbance</w:t>
            </w:r>
          </w:p>
        </w:tc>
        <w:tc>
          <w:tcPr/>
          <w:p>
            <w:pPr>
              <w:pStyle w:val="Compact"/>
            </w:pPr>
            <w:r>
              <w:t xml:space="preserve">recency</w:t>
            </w:r>
          </w:p>
        </w:tc>
        <w:tc>
          <w:tcPr/>
          <w:p>
            <w:pPr>
              <w:pStyle w:val="Compact"/>
            </w:pPr>
            <w:r>
              <w:t xml:space="preserve">Hill q1</w:t>
            </w:r>
          </w:p>
        </w:tc>
        <w:tc>
          <w:tcPr/>
          <w:p>
            <w:pPr>
              <w:pStyle w:val="Compact"/>
            </w:pPr>
            <w:r>
              <w:t xml:space="preserve">VCI</w:t>
            </w:r>
          </w:p>
        </w:tc>
        <w:tc>
          <w:tcPr/>
          <w:p>
            <w:pPr>
              <w:pStyle w:val="Compact"/>
            </w:pPr>
            <w:r>
              <w:t xml:space="preserve">−0.175</w:t>
            </w:r>
          </w:p>
        </w:tc>
        <w:tc>
          <w:tcPr/>
          <w:p>
            <w:pPr>
              <w:pStyle w:val="Compact"/>
            </w:pPr>
            <w:r>
              <w:t xml:space="preserve">0.021</w:t>
            </w:r>
          </w:p>
        </w:tc>
      </w:tr>
      <w:tr>
        <w:tc>
          <w:tcPr/>
          <w:p>
            <w:pPr>
              <w:pStyle w:val="Compact"/>
            </w:pPr>
            <w:r>
              <w:t xml:space="preserve">disturbance</w:t>
            </w:r>
          </w:p>
        </w:tc>
        <w:tc>
          <w:tcPr/>
          <w:p>
            <w:pPr>
              <w:pStyle w:val="Compact"/>
            </w:pPr>
            <w:r>
              <w:t xml:space="preserve">recency</w:t>
            </w:r>
          </w:p>
        </w:tc>
        <w:tc>
          <w:tcPr/>
          <w:p>
            <w:pPr>
              <w:pStyle w:val="Compact"/>
            </w:pPr>
            <w:r>
              <w:t xml:space="preserve">Hill q2</w:t>
            </w:r>
          </w:p>
        </w:tc>
        <w:tc>
          <w:tcPr/>
          <w:p>
            <w:pPr>
              <w:pStyle w:val="Compact"/>
            </w:pPr>
            <w:r>
              <w:t xml:space="preserve">VCI</w:t>
            </w:r>
          </w:p>
        </w:tc>
        <w:tc>
          <w:tcPr/>
          <w:p>
            <w:pPr>
              <w:pStyle w:val="Compact"/>
            </w:pPr>
            <w:r>
              <w:t xml:space="preserve">−0.165</w:t>
            </w:r>
          </w:p>
        </w:tc>
        <w:tc>
          <w:tcPr/>
          <w:p>
            <w:pPr>
              <w:pStyle w:val="Compact"/>
            </w:pPr>
            <w:r>
              <w:t xml:space="preserve">0.021</w:t>
            </w:r>
          </w:p>
        </w:tc>
      </w:tr>
      <w:tr>
        <w:tc>
          <w:tcPr/>
          <w:p>
            <w:pPr>
              <w:pStyle w:val="Compact"/>
            </w:pPr>
            <w:r>
              <w:t xml:space="preserve">land use</w:t>
            </w:r>
          </w:p>
        </w:tc>
        <w:tc>
          <w:tcPr/>
          <w:p>
            <w:pPr>
              <w:pStyle w:val="Compact"/>
            </w:pPr>
            <w:r>
              <w:t xml:space="preserve">forest fraction</w:t>
            </w:r>
          </w:p>
        </w:tc>
        <w:tc>
          <w:tcPr/>
          <w:p>
            <w:pPr>
              <w:pStyle w:val="Compact"/>
            </w:pPr>
            <w:r>
              <w:t xml:space="preserve">turnover</w:t>
            </w:r>
          </w:p>
        </w:tc>
        <w:tc>
          <w:tcPr/>
          <w:p>
            <w:pPr>
              <w:pStyle w:val="Compact"/>
            </w:pPr>
            <w:r>
              <w:t xml:space="preserve">EVI</w:t>
            </w:r>
          </w:p>
        </w:tc>
        <w:tc>
          <w:tcPr/>
          <w:p>
            <w:pPr>
              <w:pStyle w:val="Compact"/>
            </w:pPr>
            <w:r>
              <w:t xml:space="preserve">−0.064</w:t>
            </w:r>
          </w:p>
        </w:tc>
        <w:tc>
          <w:tcPr/>
          <w:p>
            <w:pPr>
              <w:pStyle w:val="Compact"/>
            </w:pPr>
            <w:r>
              <w:t xml:space="preserve">&lt;0.01</w:t>
            </w:r>
          </w:p>
        </w:tc>
      </w:tr>
    </w:tbl>
    <w:p>
      <w:pPr>
        <w:pStyle w:val="BodyText"/>
      </w:pPr>
      <w:r>
        <w:t xml:space="preserve">Interpretation: productivity–diversity coupling strengthens with stand age (positive GPP×age); structure–diversity coupling weakens with disturbance severity/recency (negative); EVI–turnover association modified by forest cover. (Supersedes the earlier SAVI-inclusive</w:t>
      </w:r>
      <w:r>
        <w:t xml:space="preserve"> </w:t>
      </w:r>
      <w:r>
        <w:rPr>
          <w:rStyle w:val="VerbatimChar"/>
        </w:rPr>
        <w:t xml:space="preserve">interaction_fdr.csv</w:t>
      </w:r>
      <w:r>
        <w:t xml:space="preserve">, which was not predictor-consistent with the nested models.)</w:t>
      </w:r>
    </w:p>
    <w:bookmarkEnd w:id="15"/>
    <w:bookmarkStart w:id="16" w:name="X1fad0d12d55790b26f47c8484d3b03bdf3db861"/>
    <w:p>
      <w:pPr>
        <w:pStyle w:val="Heading2"/>
      </w:pPr>
      <w:r>
        <w:t xml:space="preserve">Supplementary Table S5 — Climate control (NEON site MAT/MAP)</w:t>
      </w:r>
    </w:p>
    <w:p>
      <w:pPr>
        <w:pStyle w:val="FirstParagraph"/>
      </w:pPr>
      <w:r>
        <w:t xml:space="preserve">Climate = NEON site-level mean annual temperature and precipitation (</w:t>
      </w:r>
      <w:r>
        <w:rPr>
          <w:rStyle w:val="VerbatimChar"/>
        </w:rPr>
        <w:t xml:space="preserve">data/site_climate_neon.csv</w:t>
      </w:r>
      <w:r>
        <w:t xml:space="preserve">; script</w:t>
      </w:r>
      <w:r>
        <w:t xml:space="preserve"> </w:t>
      </w:r>
      <w:r>
        <w:rPr>
          <w:rStyle w:val="VerbatimChar"/>
        </w:rPr>
        <w:t xml:space="preserve">156_climate_baseline.py</w:t>
      </w:r>
      <w:r>
        <w:t xml:space="preserve">). Domain and continuous climate are collinear, so climate is used as an alternative baseline. All climate VIF &lt; 1.3.</w:t>
      </w:r>
    </w:p>
    <w:p>
      <w:pPr>
        <w:pStyle w:val="BodyText"/>
      </w:pPr>
      <w:r>
        <w:rPr>
          <w:b/>
          <w:bCs/>
        </w:rPr>
        <w:t xml:space="preserve">(a) Does GPP add beyond climate alone? (species–energy is not a climate artifact)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response</w:t>
            </w:r>
          </w:p>
        </w:tc>
        <w:tc>
          <w:tcPr/>
          <w:p>
            <w:pPr>
              <w:pStyle w:val="Compact"/>
            </w:pPr>
            <w:r>
              <w:t xml:space="preserve">R² climate only</w:t>
            </w:r>
          </w:p>
        </w:tc>
        <w:tc>
          <w:tcPr/>
          <w:p>
            <w:pPr>
              <w:pStyle w:val="Compact"/>
            </w:pPr>
            <w:r>
              <w:t xml:space="preserve">ΔR² GPP beyond climate</w:t>
            </w:r>
          </w:p>
        </w:tc>
        <w:tc>
          <w:tcPr/>
          <w:p>
            <w:pPr>
              <w:pStyle w:val="Compact"/>
            </w:pPr>
            <w:r>
              <w:t xml:space="preserve">p</w:t>
            </w:r>
          </w:p>
        </w:tc>
        <w:tc>
          <w:tcPr/>
          <w:p>
            <w:pPr>
              <w:pStyle w:val="Compact"/>
            </w:pPr>
            <w:r>
              <w:t xml:space="preserve">MODIS β (clustered)</w:t>
            </w:r>
          </w:p>
        </w:tc>
        <w:tc>
          <w:tcPr/>
          <w:p>
            <w:pPr>
              <w:pStyle w:val="Compact"/>
            </w:pPr>
            <w:r>
              <w:t xml:space="preserve">p</w:t>
            </w:r>
          </w:p>
        </w:tc>
      </w:tr>
      <w:tr>
        <w:tc>
          <w:tcPr/>
          <w:p>
            <w:pPr>
              <w:pStyle w:val="Compact"/>
            </w:pPr>
            <w:r>
              <w:t xml:space="preserve">Hill q1</w:t>
            </w:r>
          </w:p>
        </w:tc>
        <w:tc>
          <w:tcPr/>
          <w:p>
            <w:pPr>
              <w:pStyle w:val="Compact"/>
            </w:pPr>
            <w:r>
              <w:t xml:space="preserve">0.071</w:t>
            </w:r>
          </w:p>
        </w:tc>
        <w:tc>
          <w:tcPr/>
          <w:p>
            <w:pPr>
              <w:pStyle w:val="Compact"/>
            </w:pPr>
            <w:r>
              <w:rPr>
                <w:b/>
                <w:bCs/>
              </w:rPr>
              <w:t xml:space="preserve">0.180</w:t>
            </w:r>
          </w:p>
        </w:tc>
        <w:tc>
          <w:tcPr/>
          <w:p>
            <w:pPr>
              <w:pStyle w:val="Compact"/>
            </w:pPr>
            <w:r>
              <w:t xml:space="preserve">&lt;0.001</w:t>
            </w:r>
          </w:p>
        </w:tc>
        <w:tc>
          <w:tcPr/>
          <w:p>
            <w:pPr>
              <w:pStyle w:val="Compact"/>
            </w:pPr>
            <w:r>
              <w:rPr>
                <w:b/>
                <w:bCs/>
              </w:rPr>
              <w:t xml:space="preserve">+0.197</w:t>
            </w:r>
          </w:p>
        </w:tc>
        <w:tc>
          <w:tcPr/>
          <w:p>
            <w:pPr>
              <w:pStyle w:val="Compact"/>
            </w:pPr>
            <w:r>
              <w:t xml:space="preserve">0.019</w:t>
            </w:r>
          </w:p>
        </w:tc>
      </w:tr>
      <w:tr>
        <w:tc>
          <w:tcPr/>
          <w:p>
            <w:pPr>
              <w:pStyle w:val="Compact"/>
            </w:pPr>
            <w:r>
              <w:t xml:space="preserve">Hill q2</w:t>
            </w:r>
          </w:p>
        </w:tc>
        <w:tc>
          <w:tcPr/>
          <w:p>
            <w:pPr>
              <w:pStyle w:val="Compact"/>
            </w:pPr>
            <w:r>
              <w:t xml:space="preserve">0.055</w:t>
            </w:r>
          </w:p>
        </w:tc>
        <w:tc>
          <w:tcPr/>
          <w:p>
            <w:pPr>
              <w:pStyle w:val="Compact"/>
            </w:pPr>
            <w:r>
              <w:t xml:space="preserve">0.159</w:t>
            </w:r>
          </w:p>
        </w:tc>
        <w:tc>
          <w:tcPr/>
          <w:p>
            <w:pPr>
              <w:pStyle w:val="Compact"/>
            </w:pPr>
            <w:r>
              <w:t xml:space="preserve">&lt;0.001</w:t>
            </w:r>
          </w:p>
        </w:tc>
        <w:tc>
          <w:tcPr/>
          <w:p>
            <w:pPr>
              <w:pStyle w:val="Compact"/>
            </w:pPr>
            <w:r>
              <w:t xml:space="preserve">+0.165</w:t>
            </w:r>
          </w:p>
        </w:tc>
        <w:tc>
          <w:tcPr/>
          <w:p>
            <w:pPr>
              <w:pStyle w:val="Compact"/>
            </w:pPr>
            <w:r>
              <w:t xml:space="preserve">0.039</w:t>
            </w:r>
          </w:p>
        </w:tc>
      </w:tr>
      <w:tr>
        <w:tc>
          <w:tcPr/>
          <w:p>
            <w:pPr>
              <w:pStyle w:val="Compact"/>
            </w:pPr>
            <w:r>
              <w:t xml:space="preserve">Turnover</w:t>
            </w:r>
          </w:p>
        </w:tc>
        <w:tc>
          <w:tcPr/>
          <w:p>
            <w:pPr>
              <w:pStyle w:val="Compact"/>
            </w:pPr>
            <w:r>
              <w:t xml:space="preserve">0.339</w:t>
            </w:r>
          </w:p>
        </w:tc>
        <w:tc>
          <w:tcPr/>
          <w:p>
            <w:pPr>
              <w:pStyle w:val="Compact"/>
            </w:pPr>
            <w:r>
              <w:t xml:space="preserve">0.140</w:t>
            </w:r>
          </w:p>
        </w:tc>
        <w:tc>
          <w:tcPr/>
          <w:p>
            <w:pPr>
              <w:pStyle w:val="Compact"/>
            </w:pPr>
            <w:r>
              <w:t xml:space="preserve">&lt;0.001</w:t>
            </w:r>
          </w:p>
        </w:tc>
        <w:tc>
          <w:tcPr/>
          <w:p>
            <w:pPr>
              <w:pStyle w:val="Compact"/>
            </w:pPr>
            <w:r>
              <w:t xml:space="preserve">+0.026</w:t>
            </w:r>
          </w:p>
        </w:tc>
        <w:tc>
          <w:tcPr/>
          <w:p>
            <w:pPr>
              <w:pStyle w:val="Compact"/>
            </w:pPr>
            <w:r>
              <w:t xml:space="preserve">0.141</w:t>
            </w:r>
          </w:p>
        </w:tc>
      </w:tr>
      <w:tr>
        <w:tc>
          <w:tcPr/>
          <w:p>
            <w:pPr>
              <w:pStyle w:val="Compact"/>
            </w:pPr>
            <w:r>
              <w:t xml:space="preserve">Nestedness</w:t>
            </w:r>
          </w:p>
        </w:tc>
        <w:tc>
          <w:tcPr/>
          <w:p>
            <w:pPr>
              <w:pStyle w:val="Compact"/>
            </w:pPr>
            <w:r>
              <w:t xml:space="preserve">0.022</w:t>
            </w:r>
          </w:p>
        </w:tc>
        <w:tc>
          <w:tcPr/>
          <w:p>
            <w:pPr>
              <w:pStyle w:val="Compact"/>
            </w:pPr>
            <w:r>
              <w:t xml:space="preserve">0.027</w:t>
            </w:r>
          </w:p>
        </w:tc>
        <w:tc>
          <w:tcPr/>
          <w:p>
            <w:pPr>
              <w:pStyle w:val="Compact"/>
            </w:pPr>
            <w:r>
              <w:t xml:space="preserve">0.003</w:t>
            </w:r>
          </w:p>
        </w:tc>
        <w:tc>
          <w:tcPr/>
          <w:p>
            <w:pPr>
              <w:pStyle w:val="Compact"/>
            </w:pPr>
            <w:r>
              <w:t xml:space="preserve">−0.014</w:t>
            </w:r>
          </w:p>
        </w:tc>
        <w:tc>
          <w:tcPr/>
          <w:p>
            <w:pPr>
              <w:pStyle w:val="Compact"/>
            </w:pPr>
            <w:r>
              <w:t xml:space="preserve">0.061</w:t>
            </w:r>
          </w:p>
        </w:tc>
      </w:tr>
    </w:tbl>
    <w:p>
      <w:pPr>
        <w:pStyle w:val="BodyText"/>
      </w:pPr>
      <w:r>
        <w:rPr>
          <w:b/>
          <w:bCs/>
        </w:rPr>
        <w:t xml:space="preserve">(b) RS increments under domain vs climate baseline (LRT 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response</w:t>
            </w:r>
          </w:p>
        </w:tc>
        <w:tc>
          <w:tcPr/>
          <w:p>
            <w:pPr>
              <w:pStyle w:val="Compact"/>
            </w:pPr>
            <w:r>
              <w:t xml:space="preserve">dynamics (domain)</w:t>
            </w:r>
          </w:p>
        </w:tc>
        <w:tc>
          <w:tcPr/>
          <w:p>
            <w:pPr>
              <w:pStyle w:val="Compact"/>
            </w:pPr>
            <w:r>
              <w:t xml:space="preserve">dynamics (climate)</w:t>
            </w:r>
          </w:p>
        </w:tc>
        <w:tc>
          <w:tcPr/>
          <w:p>
            <w:pPr>
              <w:pStyle w:val="Compact"/>
            </w:pPr>
            <w:r>
              <w:t xml:space="preserve">function (domain)</w:t>
            </w:r>
          </w:p>
        </w:tc>
        <w:tc>
          <w:tcPr/>
          <w:p>
            <w:pPr>
              <w:pStyle w:val="Compact"/>
            </w:pPr>
            <w:r>
              <w:t xml:space="preserve">function (climate)</w:t>
            </w:r>
          </w:p>
        </w:tc>
      </w:tr>
      <w:tr>
        <w:tc>
          <w:tcPr/>
          <w:p>
            <w:pPr>
              <w:pStyle w:val="Compact"/>
            </w:pPr>
            <w:r>
              <w:t xml:space="preserve">Hill q1</w:t>
            </w:r>
          </w:p>
        </w:tc>
        <w:tc>
          <w:tcPr/>
          <w:p>
            <w:pPr>
              <w:pStyle w:val="Compact"/>
            </w:pPr>
            <w:r>
              <w:t xml:space="preserve">&lt;1e-4</w:t>
            </w:r>
          </w:p>
        </w:tc>
        <w:tc>
          <w:tcPr/>
          <w:p>
            <w:pPr>
              <w:pStyle w:val="Compact"/>
            </w:pPr>
            <w:r>
              <w:t xml:space="preserve">&lt;1e-4</w:t>
            </w:r>
          </w:p>
        </w:tc>
        <w:tc>
          <w:tcPr/>
          <w:p>
            <w:pPr>
              <w:pStyle w:val="Compact"/>
            </w:pPr>
            <w:r>
              <w:t xml:space="preserve">0.009</w:t>
            </w:r>
          </w:p>
        </w:tc>
        <w:tc>
          <w:tcPr/>
          <w:p>
            <w:pPr>
              <w:pStyle w:val="Compact"/>
            </w:pPr>
            <w:r>
              <w:t xml:space="preserve">1e-4</w:t>
            </w:r>
          </w:p>
        </w:tc>
      </w:tr>
      <w:tr>
        <w:tc>
          <w:tcPr/>
          <w:p>
            <w:pPr>
              <w:pStyle w:val="Compact"/>
            </w:pPr>
            <w:r>
              <w:t xml:space="preserve">Hill q2</w:t>
            </w:r>
          </w:p>
        </w:tc>
        <w:tc>
          <w:tcPr/>
          <w:p>
            <w:pPr>
              <w:pStyle w:val="Compact"/>
            </w:pPr>
            <w:r>
              <w:t xml:space="preserve">&lt;1e-4</w:t>
            </w:r>
          </w:p>
        </w:tc>
        <w:tc>
          <w:tcPr/>
          <w:p>
            <w:pPr>
              <w:pStyle w:val="Compact"/>
            </w:pPr>
            <w:r>
              <w:t xml:space="preserve">&lt;1e-4</w:t>
            </w:r>
          </w:p>
        </w:tc>
        <w:tc>
          <w:tcPr/>
          <w:p>
            <w:pPr>
              <w:pStyle w:val="Compact"/>
            </w:pPr>
            <w:r>
              <w:t xml:space="preserve">0.018</w:t>
            </w:r>
          </w:p>
        </w:tc>
        <w:tc>
          <w:tcPr/>
          <w:p>
            <w:pPr>
              <w:pStyle w:val="Compact"/>
            </w:pPr>
            <w:r>
              <w:t xml:space="preserve">4e-4</w:t>
            </w:r>
          </w:p>
        </w:tc>
      </w:tr>
      <w:tr>
        <w:tc>
          <w:tcPr/>
          <w:p>
            <w:pPr>
              <w:pStyle w:val="Compact"/>
            </w:pPr>
            <w:r>
              <w:t xml:space="preserve">Turnover</w:t>
            </w:r>
          </w:p>
        </w:tc>
        <w:tc>
          <w:tcPr/>
          <w:p>
            <w:pPr>
              <w:pStyle w:val="Compact"/>
            </w:pPr>
            <w:r>
              <w:t xml:space="preserve">0.001</w:t>
            </w:r>
          </w:p>
        </w:tc>
        <w:tc>
          <w:tcPr/>
          <w:p>
            <w:pPr>
              <w:pStyle w:val="Compact"/>
            </w:pPr>
            <w:r>
              <w:rPr>
                <w:b/>
                <w:bCs/>
              </w:rPr>
              <w:t xml:space="preserve">0.149 (n.s.)</w:t>
            </w:r>
          </w:p>
        </w:tc>
        <w:tc>
          <w:tcPr/>
          <w:p>
            <w:pPr>
              <w:pStyle w:val="Compact"/>
            </w:pPr>
            <w:r>
              <w:t xml:space="preserve">&lt;1e-4</w:t>
            </w:r>
          </w:p>
        </w:tc>
        <w:tc>
          <w:tcPr/>
          <w:p>
            <w:pPr>
              <w:pStyle w:val="Compact"/>
            </w:pPr>
            <w:r>
              <w:t xml:space="preserve">&lt;1e-4</w:t>
            </w:r>
          </w:p>
        </w:tc>
      </w:tr>
      <w:tr>
        <w:tc>
          <w:tcPr/>
          <w:p>
            <w:pPr>
              <w:pStyle w:val="Compact"/>
            </w:pPr>
            <w:r>
              <w:t xml:space="preserve">Nestedness</w:t>
            </w:r>
          </w:p>
        </w:tc>
        <w:tc>
          <w:tcPr/>
          <w:p>
            <w:pPr>
              <w:pStyle w:val="Compact"/>
            </w:pPr>
            <w:r>
              <w:t xml:space="preserve">&lt;1e-4</w:t>
            </w:r>
          </w:p>
        </w:tc>
        <w:tc>
          <w:tcPr/>
          <w:p>
            <w:pPr>
              <w:pStyle w:val="Compact"/>
            </w:pPr>
            <w:r>
              <w:t xml:space="preserve">&lt;1e-4</w:t>
            </w:r>
          </w:p>
        </w:tc>
        <w:tc>
          <w:tcPr/>
          <w:p>
            <w:pPr>
              <w:pStyle w:val="Compact"/>
            </w:pPr>
            <w:r>
              <w:t xml:space="preserve">0.094 (n.s.)</w:t>
            </w:r>
          </w:p>
        </w:tc>
        <w:tc>
          <w:tcPr/>
          <w:p>
            <w:pPr>
              <w:pStyle w:val="Compact"/>
            </w:pPr>
            <w:r>
              <w:t xml:space="preserve">0.596 (n.s.)</w:t>
            </w:r>
          </w:p>
        </w:tc>
      </w:tr>
    </w:tbl>
    <w:p>
      <w:pPr>
        <w:pStyle w:val="BodyText"/>
      </w:pPr>
      <w:r>
        <w:t xml:space="preserve">Domain baseline R² (e.g., Hill q1 = 0.40) ≫ climate baseline R² (0.07): domain fixed effects absorb climatic</w:t>
      </w:r>
      <w:r>
        <w:t xml:space="preserve"> </w:t>
      </w:r>
      <w:r>
        <w:rPr>
          <w:b/>
          <w:bCs/>
        </w:rPr>
        <w:t xml:space="preserve">and</w:t>
      </w:r>
      <w:r>
        <w:t xml:space="preserve"> </w:t>
      </w:r>
      <w:r>
        <w:t xml:space="preserve">non-climatic biogeography (species pools, soils), so domain is retained as the primary, stronger control and climate serves as the explicit</w:t>
      </w:r>
      <w:r>
        <w:t xml:space="preserve"> </w:t>
      </w:r>
      <w:r>
        <w:t xml:space="preserve">“beyond-climate”</w:t>
      </w:r>
      <w:r>
        <w:t xml:space="preserve"> </w:t>
      </w:r>
      <w:r>
        <w:t xml:space="preserve">check. Note: the turnover dynamics increment is baseline-dependent (significant under domain, n.s. under climate); its productivity increment is robust to both.</w:t>
      </w:r>
    </w:p>
    <w:bookmarkEnd w:id="16"/>
    <w:bookmarkStart w:id="17" w:name="X634dd3ff81887502b2782cae310508256641ea6"/>
    <w:p>
      <w:pPr>
        <w:pStyle w:val="Heading2"/>
      </w:pPr>
      <w:r>
        <w:t xml:space="preserve">Supplementary Table S4 — Mixed vs clustered-OLS fixed effects</w:t>
      </w:r>
    </w:p>
    <w:p>
      <w:pPr>
        <w:pStyle w:val="FirstParagraph"/>
      </w:pPr>
      <w:r>
        <w:t xml:space="preserve">Site random-intercept variance estimated at 0 (singular); standardized fixed-effect coefficients closely similar (mean |Δ| = 0.03, max |Δ| = 0.05, r = 0.93 across 14 RS predictors).</w:t>
      </w:r>
    </w:p>
    <w:bookmarkEnd w:id="17"/>
    <w:bookmarkStart w:id="18" w:name="X464a16933a58e86bb0840fb48a7b4f42161e15e"/>
    <w:p>
      <w:pPr>
        <w:pStyle w:val="Heading2"/>
      </w:pPr>
      <w:r>
        <w:t xml:space="preserve">Supplementary Methods S8 — Four-method triangulation of the plot-level framework (statistical robustness)</w:t>
      </w:r>
    </w:p>
    <w:p>
      <w:pPr>
        <w:pStyle w:val="FirstParagraph"/>
      </w:pPr>
      <w:r>
        <w:t xml:space="preserve">The plot-level conclusions (§3.1–§3.3) rest on domain fixed effects with site-clustered SEs and joint block tests by restricted wild cluster bootstrap. Because inference is anchored on only 26 site clusters (~12 domains) — a regime where joint block-increment tests are known to be conservative — we re-derived the core conclusions with three additional, methodologically independent approaches. All four agree on the two headline results (</w:t>
      </w:r>
      <w:r>
        <w:rPr>
          <w:b/>
          <w:bCs/>
        </w:rPr>
        <w:t xml:space="preserve">structure → alpha</w:t>
      </w:r>
      <w:r>
        <w:t xml:space="preserve">;</w:t>
      </w:r>
      <w:r>
        <w:t xml:space="preserve"> </w:t>
      </w:r>
      <w:r>
        <w:rPr>
          <w:b/>
          <w:bCs/>
        </w:rPr>
        <w:t xml:space="preserve">dynamics → nestedness</w:t>
      </w:r>
      <w:r>
        <w:t xml:space="preserve">), and the Bayesian coefficient-level analysis recovers the dynamics → nestedness signal that the conservative joint block test misses.</w:t>
      </w:r>
    </w:p>
    <w:p>
      <w:pPr>
        <w:pStyle w:val="BodyText"/>
      </w:pPr>
      <w:r>
        <w:rPr>
          <w:b/>
          <w:bCs/>
        </w:rPr>
        <w:t xml:space="preserve">Method 1 — Bayesian multilevel (partial pooling).</w:t>
      </w:r>
      <w:r>
        <w:t xml:space="preserve"> </w:t>
      </w:r>
      <w:r>
        <w:t xml:space="preserve">bambi/PyMC, crossed random intercepts for domain and site-within-domain, non-centred parameterization, HalfNormal(0.5/0.3) priors on the group scales; 4 chains × (3,000 tune + 2,000 draws), target_accept = 0.99. Fully converged (0 divergent transitions; R̂ ≤ 1.002). The near-singular site variance (Table S4, site RE variance ≈ 0) is the source of the funnel geometry that the priors + high target_accept resolve. Coefficient credible when its 95% HDI excludes zero. Models were fitted for all four responses; the table below shows the two headline responses (Hill q2 mirrors q1 — LAI +0.40, VCI +0.26, EVI +0.26 credible; turnover shows only two small credible dynamics trends, LAI trend and height-ratio trend, both β ≈ +0.09), full posteriors in</w:t>
      </w:r>
      <w:r>
        <w:t xml:space="preserve"> </w:t>
      </w:r>
      <w:r>
        <w:rPr>
          <w:rStyle w:val="VerbatimChar"/>
        </w:rPr>
        <w:t xml:space="preserve">bayes_multilevel_coeffs.csv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Response</w:t>
            </w:r>
          </w:p>
        </w:tc>
        <w:tc>
          <w:tcPr/>
          <w:p>
            <w:pPr>
              <w:pStyle w:val="Compact"/>
            </w:pPr>
            <w:r>
              <w:t xml:space="preserve">Predictor</w:t>
            </w:r>
          </w:p>
        </w:tc>
        <w:tc>
          <w:tcPr/>
          <w:p>
            <w:pPr>
              <w:pStyle w:val="Compact"/>
            </w:pPr>
            <w:r>
              <w:t xml:space="preserve">β (std)</w:t>
            </w:r>
          </w:p>
        </w:tc>
        <w:tc>
          <w:tcPr/>
          <w:p>
            <w:pPr>
              <w:pStyle w:val="Compact"/>
            </w:pPr>
            <w:r>
              <w:t xml:space="preserve">95% HDI</w:t>
            </w:r>
          </w:p>
        </w:tc>
        <w:tc>
          <w:tcPr/>
          <w:p>
            <w:pPr>
              <w:pStyle w:val="Compact"/>
            </w:pPr>
            <w:r>
              <w:t xml:space="preserve">pd</w:t>
            </w:r>
          </w:p>
        </w:tc>
      </w:tr>
      <w:tr>
        <w:tc>
          <w:tcPr/>
          <w:p>
            <w:pPr>
              <w:pStyle w:val="Compact"/>
            </w:pPr>
            <w:r>
              <w:t xml:space="preserve">Hill q1 (alpha)</w:t>
            </w:r>
          </w:p>
        </w:tc>
        <w:tc>
          <w:tcPr/>
          <w:p>
            <w:pPr>
              <w:pStyle w:val="Compact"/>
            </w:pPr>
            <w:r>
              <w:t xml:space="preserve">LAI_mean (struct)</w:t>
            </w:r>
          </w:p>
        </w:tc>
        <w:tc>
          <w:tcPr/>
          <w:p>
            <w:pPr>
              <w:pStyle w:val="Compact"/>
            </w:pPr>
            <w:r>
              <w:t xml:space="preserve">+0.404</w:t>
            </w:r>
          </w:p>
        </w:tc>
        <w:tc>
          <w:tcPr/>
          <w:p>
            <w:pPr>
              <w:pStyle w:val="Compact"/>
            </w:pPr>
            <w:r>
              <w:t xml:space="preserve">[+0.266, +0.539]</w:t>
            </w:r>
          </w:p>
        </w:tc>
        <w:tc>
          <w:tcPr/>
          <w:p>
            <w:pPr>
              <w:pStyle w:val="Compact"/>
            </w:pPr>
            <w:r>
              <w:t xml:space="preserve">1.000</w:t>
            </w:r>
          </w:p>
        </w:tc>
      </w:tr>
      <w:tr>
        <w:tc>
          <w:tcPr/>
          <w:p>
            <w:pPr>
              <w:pStyle w:val="Compact"/>
            </w:pPr>
            <w:r>
              <w:t xml:space="preserve">Hill q1</w:t>
            </w:r>
          </w:p>
        </w:tc>
        <w:tc>
          <w:tcPr/>
          <w:p>
            <w:pPr>
              <w:pStyle w:val="Compact"/>
            </w:pPr>
            <w:r>
              <w:t xml:space="preserve">VCI_mean (struct)</w:t>
            </w:r>
          </w:p>
        </w:tc>
        <w:tc>
          <w:tcPr/>
          <w:p>
            <w:pPr>
              <w:pStyle w:val="Compact"/>
            </w:pPr>
            <w:r>
              <w:t xml:space="preserve">+0.274</w:t>
            </w:r>
          </w:p>
        </w:tc>
        <w:tc>
          <w:tcPr/>
          <w:p>
            <w:pPr>
              <w:pStyle w:val="Compact"/>
            </w:pPr>
            <w:r>
              <w:t xml:space="preserve">[+0.205, +0.345]</w:t>
            </w:r>
          </w:p>
        </w:tc>
        <w:tc>
          <w:tcPr/>
          <w:p>
            <w:pPr>
              <w:pStyle w:val="Compact"/>
            </w:pPr>
            <w:r>
              <w:t xml:space="preserve">1.000</w:t>
            </w:r>
          </w:p>
        </w:tc>
      </w:tr>
      <w:tr>
        <w:tc>
          <w:tcPr/>
          <w:p>
            <w:pPr>
              <w:pStyle w:val="Compact"/>
            </w:pPr>
            <w:r>
              <w:t xml:space="preserve">Hill q1</w:t>
            </w:r>
          </w:p>
        </w:tc>
        <w:tc>
          <w:tcPr/>
          <w:p>
            <w:pPr>
              <w:pStyle w:val="Compact"/>
            </w:pPr>
            <w:r>
              <w:t xml:space="preserve">EVI_mean (spectral)</w:t>
            </w:r>
          </w:p>
        </w:tc>
        <w:tc>
          <w:tcPr/>
          <w:p>
            <w:pPr>
              <w:pStyle w:val="Compact"/>
            </w:pPr>
            <w:r>
              <w:t xml:space="preserve">+0.237</w:t>
            </w:r>
          </w:p>
        </w:tc>
        <w:tc>
          <w:tcPr/>
          <w:p>
            <w:pPr>
              <w:pStyle w:val="Compact"/>
            </w:pPr>
            <w:r>
              <w:t xml:space="preserve">[+0.132, +0.343]</w:t>
            </w:r>
          </w:p>
        </w:tc>
        <w:tc>
          <w:tcPr/>
          <w:p>
            <w:pPr>
              <w:pStyle w:val="Compact"/>
            </w:pPr>
            <w:r>
              <w:t xml:space="preserve">1.000</w:t>
            </w:r>
          </w:p>
        </w:tc>
      </w:tr>
      <w:tr>
        <w:tc>
          <w:tcPr/>
          <w:p>
            <w:pPr>
              <w:pStyle w:val="Compact"/>
            </w:pPr>
            <w:r>
              <w:t xml:space="preserve">Hill q1</w:t>
            </w:r>
          </w:p>
        </w:tc>
        <w:tc>
          <w:tcPr/>
          <w:p>
            <w:pPr>
              <w:pStyle w:val="Compact"/>
            </w:pPr>
            <w:r>
              <w:t xml:space="preserve">Rugosity_mean (struct)</w:t>
            </w:r>
          </w:p>
        </w:tc>
        <w:tc>
          <w:tcPr/>
          <w:p>
            <w:pPr>
              <w:pStyle w:val="Compact"/>
            </w:pPr>
            <w:r>
              <w:t xml:space="preserve">−0.098</w:t>
            </w:r>
          </w:p>
        </w:tc>
        <w:tc>
          <w:tcPr/>
          <w:p>
            <w:pPr>
              <w:pStyle w:val="Compact"/>
            </w:pPr>
            <w:r>
              <w:t xml:space="preserve">[−0.172, −0.024]</w:t>
            </w:r>
          </w:p>
        </w:tc>
        <w:tc>
          <w:tcPr/>
          <w:p>
            <w:pPr>
              <w:pStyle w:val="Compact"/>
            </w:pPr>
            <w:r>
              <w:t xml:space="preserve">0.995</w:t>
            </w:r>
          </w:p>
        </w:tc>
      </w:tr>
      <w:tr>
        <w:tc>
          <w:tcPr/>
          <w:p>
            <w:pPr>
              <w:pStyle w:val="Compact"/>
            </w:pPr>
            <w:r>
              <w:t xml:space="preserve">Hill q1</w:t>
            </w:r>
          </w:p>
        </w:tc>
        <w:tc>
          <w:tcPr/>
          <w:p>
            <w:pPr>
              <w:pStyle w:val="Compact"/>
            </w:pPr>
            <w:r>
              <w:t xml:space="preserve">Rumple_trend (dyn)</w:t>
            </w:r>
          </w:p>
        </w:tc>
        <w:tc>
          <w:tcPr/>
          <w:p>
            <w:pPr>
              <w:pStyle w:val="Compact"/>
            </w:pPr>
            <w:r>
              <w:t xml:space="preserve">+0.091</w:t>
            </w:r>
          </w:p>
        </w:tc>
        <w:tc>
          <w:tcPr/>
          <w:p>
            <w:pPr>
              <w:pStyle w:val="Compact"/>
            </w:pPr>
            <w:r>
              <w:t xml:space="preserve">[+0.016, +0.167]</w:t>
            </w:r>
          </w:p>
        </w:tc>
        <w:tc>
          <w:tcPr/>
          <w:p>
            <w:pPr>
              <w:pStyle w:val="Compact"/>
            </w:pPr>
            <w:r>
              <w:t xml:space="preserve">0.991</w:t>
            </w:r>
          </w:p>
        </w:tc>
      </w:tr>
      <w:tr>
        <w:tc>
          <w:tcPr/>
          <w:p>
            <w:pPr>
              <w:pStyle w:val="Compact"/>
            </w:pPr>
            <w:r>
              <w:t xml:space="preserve">Hill q1</w:t>
            </w:r>
          </w:p>
        </w:tc>
        <w:tc>
          <w:tcPr/>
          <w:p>
            <w:pPr>
              <w:pStyle w:val="Compact"/>
            </w:pPr>
            <w:r>
              <w:t xml:space="preserve">Ht_Ratio_trend (dyn)</w:t>
            </w:r>
          </w:p>
        </w:tc>
        <w:tc>
          <w:tcPr/>
          <w:p>
            <w:pPr>
              <w:pStyle w:val="Compact"/>
            </w:pPr>
            <w:r>
              <w:t xml:space="preserve">+0.114</w:t>
            </w:r>
          </w:p>
        </w:tc>
        <w:tc>
          <w:tcPr/>
          <w:p>
            <w:pPr>
              <w:pStyle w:val="Compact"/>
            </w:pPr>
            <w:r>
              <w:t xml:space="preserve">[+0.036, +0.192]</w:t>
            </w:r>
          </w:p>
        </w:tc>
        <w:tc>
          <w:tcPr/>
          <w:p>
            <w:pPr>
              <w:pStyle w:val="Compact"/>
            </w:pPr>
            <w:r>
              <w:t xml:space="preserve">0.998</w:t>
            </w:r>
          </w:p>
        </w:tc>
      </w:tr>
      <w:tr>
        <w:tc>
          <w:tcPr/>
          <w:p>
            <w:pPr>
              <w:pStyle w:val="Compact"/>
            </w:pPr>
            <w:r>
              <w:t xml:space="preserve">Nestedness</w:t>
            </w:r>
          </w:p>
        </w:tc>
        <w:tc>
          <w:tcPr/>
          <w:p>
            <w:pPr>
              <w:pStyle w:val="Compact"/>
            </w:pPr>
            <w:r>
              <w:rPr>
                <w:b/>
                <w:bCs/>
              </w:rPr>
              <w:t xml:space="preserve">Ht_Ratio_trend (dyn)</w:t>
            </w:r>
          </w:p>
        </w:tc>
        <w:tc>
          <w:tcPr/>
          <w:p>
            <w:pPr>
              <w:pStyle w:val="Compact"/>
            </w:pPr>
            <w:r>
              <w:rPr>
                <w:b/>
                <w:bCs/>
              </w:rPr>
              <w:t xml:space="preserve">−0.307</w:t>
            </w:r>
          </w:p>
        </w:tc>
        <w:tc>
          <w:tcPr/>
          <w:p>
            <w:pPr>
              <w:pStyle w:val="Compact"/>
            </w:pPr>
            <w:r>
              <w:rPr>
                <w:b/>
                <w:bCs/>
              </w:rPr>
              <w:t xml:space="preserve">[−0.419, −0.198]</w:t>
            </w:r>
          </w:p>
        </w:tc>
        <w:tc>
          <w:tcPr/>
          <w:p>
            <w:pPr>
              <w:pStyle w:val="Compact"/>
            </w:pPr>
            <w:r>
              <w:rPr>
                <w:b/>
                <w:bCs/>
              </w:rPr>
              <w:t xml:space="preserve">1.000</w:t>
            </w:r>
          </w:p>
        </w:tc>
      </w:tr>
      <w:tr>
        <w:tc>
          <w:tcPr/>
          <w:p>
            <w:pPr>
              <w:pStyle w:val="Compact"/>
            </w:pPr>
            <w:r>
              <w:t xml:space="preserve">Nestedness</w:t>
            </w:r>
          </w:p>
        </w:tc>
        <w:tc>
          <w:tcPr/>
          <w:p>
            <w:pPr>
              <w:pStyle w:val="Compact"/>
            </w:pPr>
            <w:r>
              <w:rPr>
                <w:b/>
                <w:bCs/>
              </w:rPr>
              <w:t xml:space="preserve">Vert_CV_trend (dyn)</w:t>
            </w:r>
          </w:p>
        </w:tc>
        <w:tc>
          <w:tcPr/>
          <w:p>
            <w:pPr>
              <w:pStyle w:val="Compact"/>
            </w:pPr>
            <w:r>
              <w:rPr>
                <w:b/>
                <w:bCs/>
              </w:rPr>
              <w:t xml:space="preserve">+0.200</w:t>
            </w:r>
          </w:p>
        </w:tc>
        <w:tc>
          <w:tcPr/>
          <w:p>
            <w:pPr>
              <w:pStyle w:val="Compact"/>
            </w:pPr>
            <w:r>
              <w:rPr>
                <w:b/>
                <w:bCs/>
              </w:rPr>
              <w:t xml:space="preserve">[+0.081, +0.320]</w:t>
            </w:r>
          </w:p>
        </w:tc>
        <w:tc>
          <w:tcPr/>
          <w:p>
            <w:pPr>
              <w:pStyle w:val="Compact"/>
            </w:pPr>
            <w:r>
              <w:rPr>
                <w:b/>
                <w:bCs/>
              </w:rPr>
              <w:t xml:space="preserve">0.999</w:t>
            </w:r>
          </w:p>
        </w:tc>
      </w:tr>
      <w:tr>
        <w:tc>
          <w:tcPr/>
          <w:p>
            <w:pPr>
              <w:pStyle w:val="Compact"/>
            </w:pPr>
            <w:r>
              <w:t xml:space="preserve">Nestedness</w:t>
            </w:r>
          </w:p>
        </w:tc>
        <w:tc>
          <w:tcPr/>
          <w:p>
            <w:pPr>
              <w:pStyle w:val="Compact"/>
            </w:pPr>
            <w:r>
              <w:rPr>
                <w:b/>
                <w:bCs/>
              </w:rPr>
              <w:t xml:space="preserve">LAI_trend (dyn)</w:t>
            </w:r>
          </w:p>
        </w:tc>
        <w:tc>
          <w:tcPr/>
          <w:p>
            <w:pPr>
              <w:pStyle w:val="Compact"/>
            </w:pPr>
            <w:r>
              <w:rPr>
                <w:b/>
                <w:bCs/>
              </w:rPr>
              <w:t xml:space="preserve">−0.191</w:t>
            </w:r>
          </w:p>
        </w:tc>
        <w:tc>
          <w:tcPr/>
          <w:p>
            <w:pPr>
              <w:pStyle w:val="Compact"/>
            </w:pPr>
            <w:r>
              <w:rPr>
                <w:b/>
                <w:bCs/>
              </w:rPr>
              <w:t xml:space="preserve">[−0.308, −0.071]</w:t>
            </w:r>
          </w:p>
        </w:tc>
        <w:tc>
          <w:tcPr/>
          <w:p>
            <w:pPr>
              <w:pStyle w:val="Compact"/>
            </w:pPr>
            <w:r>
              <w:rPr>
                <w:b/>
                <w:bCs/>
              </w:rPr>
              <w:t xml:space="preserve">0.999</w:t>
            </w:r>
          </w:p>
        </w:tc>
      </w:tr>
      <w:tr>
        <w:tc>
          <w:tcPr/>
          <w:p>
            <w:pPr>
              <w:pStyle w:val="Compact"/>
            </w:pPr>
            <w:r>
              <w:t xml:space="preserve">Nestedness</w:t>
            </w:r>
          </w:p>
        </w:tc>
        <w:tc>
          <w:tcPr/>
          <w:p>
            <w:pPr>
              <w:pStyle w:val="Compact"/>
            </w:pPr>
            <w:r>
              <w:t xml:space="preserve">Rugosity_mean (struct)</w:t>
            </w:r>
          </w:p>
        </w:tc>
        <w:tc>
          <w:tcPr/>
          <w:p>
            <w:pPr>
              <w:pStyle w:val="Compact"/>
            </w:pPr>
            <w:r>
              <w:t xml:space="preserve">+0.137</w:t>
            </w:r>
          </w:p>
        </w:tc>
        <w:tc>
          <w:tcPr/>
          <w:p>
            <w:pPr>
              <w:pStyle w:val="Compact"/>
            </w:pPr>
            <w:r>
              <w:t xml:space="preserve">[+0.035, +0.240]</w:t>
            </w:r>
          </w:p>
        </w:tc>
        <w:tc>
          <w:tcPr/>
          <w:p>
            <w:pPr>
              <w:pStyle w:val="Compact"/>
            </w:pPr>
            <w:r>
              <w:t xml:space="preserve">0.994</w:t>
            </w:r>
          </w:p>
        </w:tc>
      </w:tr>
      <w:tr>
        <w:tc>
          <w:tcPr/>
          <w:p>
            <w:pPr>
              <w:pStyle w:val="Compact"/>
            </w:pPr>
            <w:r>
              <w:t xml:space="preserve">Nestedness</w:t>
            </w:r>
          </w:p>
        </w:tc>
        <w:tc>
          <w:tcPr/>
          <w:p>
            <w:pPr>
              <w:pStyle w:val="Compact"/>
            </w:pPr>
            <w:r>
              <w:t xml:space="preserve">Vert_CV_mean (struct)</w:t>
            </w:r>
          </w:p>
        </w:tc>
        <w:tc>
          <w:tcPr/>
          <w:p>
            <w:pPr>
              <w:pStyle w:val="Compact"/>
            </w:pPr>
            <w:r>
              <w:t xml:space="preserve">−0.121</w:t>
            </w:r>
          </w:p>
        </w:tc>
        <w:tc>
          <w:tcPr/>
          <w:p>
            <w:pPr>
              <w:pStyle w:val="Compact"/>
            </w:pPr>
            <w:r>
              <w:t xml:space="preserve">[−0.237, −0.004]</w:t>
            </w:r>
          </w:p>
        </w:tc>
        <w:tc>
          <w:tcPr/>
          <w:p>
            <w:pPr>
              <w:pStyle w:val="Compact"/>
            </w:pPr>
            <w:r>
              <w:t xml:space="preserve">0.976</w:t>
            </w:r>
          </w:p>
        </w:tc>
      </w:tr>
    </w:tbl>
    <w:p>
      <w:pPr>
        <w:pStyle w:val="BodyText"/>
      </w:pPr>
      <w:r>
        <w:t xml:space="preserve">Structure dominates alpha (3/4 structural terms credible);</w:t>
      </w:r>
      <w:r>
        <w:t xml:space="preserve"> </w:t>
      </w:r>
      <w:r>
        <w:rPr>
          <w:b/>
          <w:bCs/>
        </w:rPr>
        <w:t xml:space="preserve">dynamics dominate nestedness (3/7 dynamics trends credible, more than any other block for this component)</w:t>
      </w:r>
      <w:r>
        <w:t xml:space="preserve"> </w:t>
      </w:r>
      <w:r>
        <w:t xml:space="preserve">even though the joint dynamics block-increment did not clear the wild bootstrap (p = 0.14, Table S1b) — i.e. the block test is conservative, not the effect absent. Full posterior tables:</w:t>
      </w:r>
      <w:r>
        <w:t xml:space="preserve"> </w:t>
      </w:r>
      <w:r>
        <w:rPr>
          <w:rStyle w:val="VerbatimChar"/>
        </w:rPr>
        <w:t xml:space="preserve">results/O0_framework/bayes_multilevel_coeffs.csv</w:t>
      </w:r>
      <w:r>
        <w:t xml:space="preserve"> </w:t>
      </w:r>
      <w:r>
        <w:t xml:space="preserve">(+</w:t>
      </w:r>
      <w:r>
        <w:t xml:space="preserve"> </w:t>
      </w:r>
      <w:r>
        <w:rPr>
          <w:rStyle w:val="VerbatimChar"/>
        </w:rPr>
        <w:t xml:space="preserve">_meta.csv</w:t>
      </w:r>
      <w:r>
        <w:t xml:space="preserve">).</w:t>
      </w:r>
    </w:p>
    <w:p>
      <w:pPr>
        <w:pStyle w:val="BodyText"/>
      </w:pPr>
      <w:r>
        <w:rPr>
          <w:i/>
          <w:iCs/>
        </w:rPr>
        <w:t xml:space="preserve">Prior sensitivity.</w:t>
      </w:r>
      <w:r>
        <w:t xml:space="preserve"> </w:t>
      </w:r>
      <w:r>
        <w:t xml:space="preserve">Because the coefficient-level inference is the primary support for the dynamics → nestedness result, we repeated the Hill q1 and nestedness models with the group-scale priors doubled (domain σ ~ HalfNormal(1.0), site σ ~ HalfNormal(0.6)). The credible set was identical for all 24 coefficients (12 predictors × 2 responses), the maximum change in any posterior mean was 0.007, the three nestedness dynamics trends were essentially unchanged (height-ratio −0.306 vs −0.31; vertical-CV +0.199 vs +0.20; leaf-area −0.191 vs −0.19), and both models again sampled with 0 divergent transitions (</w:t>
      </w:r>
      <w:r>
        <w:rPr>
          <w:rStyle w:val="VerbatimChar"/>
        </w:rPr>
        <w:t xml:space="preserve">bayes_prior_sensitivity.csv</w:t>
      </w:r>
      <w:r>
        <w:t xml:space="preserve">). The headline result is therefore not prior-driven.</w:t>
      </w:r>
    </w:p>
    <w:p>
      <w:pPr>
        <w:pStyle w:val="BodyText"/>
      </w:pPr>
      <w:r>
        <w:rPr>
          <w:b/>
          <w:bCs/>
        </w:rPr>
        <w:t xml:space="preserve">Method 2 — Formal variation partitioning (vegan-varpart style).</w:t>
      </w:r>
      <w:r>
        <w:t xml:space="preserve"> </w:t>
      </w:r>
      <w:r>
        <w:t xml:space="preserve">Domain-conditional partition of the remote-sensing R² into unique structure/spectral/dynamics blocks via set-complement R² differences, cross-checking the manual semi-partial R² of §3.1. The two recipes agree to three decimals: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Response</w:t>
            </w:r>
          </w:p>
        </w:tc>
        <w:tc>
          <w:tcPr/>
          <w:p>
            <w:pPr>
              <w:pStyle w:val="Compact"/>
            </w:pPr>
            <w:r>
              <w:t xml:space="preserve">total</w:t>
            </w:r>
          </w:p>
        </w:tc>
        <w:tc>
          <w:tcPr/>
          <w:p>
            <w:pPr>
              <w:pStyle w:val="Compact"/>
            </w:pPr>
            <w:r>
              <w:t xml:space="preserve">unique struct</w:t>
            </w:r>
          </w:p>
        </w:tc>
        <w:tc>
          <w:tcPr/>
          <w:p>
            <w:pPr>
              <w:pStyle w:val="Compact"/>
            </w:pPr>
            <w:r>
              <w:t xml:space="preserve">unique spectral</w:t>
            </w:r>
          </w:p>
        </w:tc>
        <w:tc>
          <w:tcPr/>
          <w:p>
            <w:pPr>
              <w:pStyle w:val="Compact"/>
            </w:pPr>
            <w:r>
              <w:t xml:space="preserve">unique dyn</w:t>
            </w:r>
          </w:p>
        </w:tc>
        <w:tc>
          <w:tcPr/>
          <w:p>
            <w:pPr>
              <w:pStyle w:val="Compact"/>
            </w:pPr>
            <w:r>
              <w:t xml:space="preserve">shared</w:t>
            </w:r>
          </w:p>
        </w:tc>
      </w:tr>
      <w:tr>
        <w:tc>
          <w:tcPr/>
          <w:p>
            <w:pPr>
              <w:pStyle w:val="Compact"/>
            </w:pPr>
            <w:r>
              <w:t xml:space="preserve">Hill q1</w:t>
            </w:r>
          </w:p>
        </w:tc>
        <w:tc>
          <w:tcPr/>
          <w:p>
            <w:pPr>
              <w:pStyle w:val="Compact"/>
            </w:pPr>
            <w:r>
              <w:t xml:space="preserve">0.153</w:t>
            </w:r>
          </w:p>
        </w:tc>
        <w:tc>
          <w:tcPr/>
          <w:p>
            <w:pPr>
              <w:pStyle w:val="Compact"/>
            </w:pPr>
            <w:r>
              <w:rPr>
                <w:b/>
                <w:bCs/>
              </w:rPr>
              <w:t xml:space="preserve">0.081</w:t>
            </w:r>
          </w:p>
        </w:tc>
        <w:tc>
          <w:tcPr/>
          <w:p>
            <w:pPr>
              <w:pStyle w:val="Compact"/>
            </w:pPr>
            <w:r>
              <w:t xml:space="preserve">0.011</w:t>
            </w:r>
          </w:p>
        </w:tc>
        <w:tc>
          <w:tcPr/>
          <w:p>
            <w:pPr>
              <w:pStyle w:val="Compact"/>
            </w:pPr>
            <w:r>
              <w:t xml:space="preserve">0.042</w:t>
            </w:r>
          </w:p>
        </w:tc>
        <w:tc>
          <w:tcPr/>
          <w:p>
            <w:pPr>
              <w:pStyle w:val="Compact"/>
            </w:pPr>
            <w:r>
              <w:t xml:space="preserve">0.019</w:t>
            </w:r>
          </w:p>
        </w:tc>
      </w:tr>
      <w:tr>
        <w:tc>
          <w:tcPr/>
          <w:p>
            <w:pPr>
              <w:pStyle w:val="Compact"/>
            </w:pPr>
            <w:r>
              <w:t xml:space="preserve">Hill q2</w:t>
            </w:r>
          </w:p>
        </w:tc>
        <w:tc>
          <w:tcPr/>
          <w:p>
            <w:pPr>
              <w:pStyle w:val="Compact"/>
            </w:pPr>
            <w:r>
              <w:t xml:space="preserve">0.141</w:t>
            </w:r>
          </w:p>
        </w:tc>
        <w:tc>
          <w:tcPr/>
          <w:p>
            <w:pPr>
              <w:pStyle w:val="Compact"/>
            </w:pPr>
            <w:r>
              <w:rPr>
                <w:b/>
                <w:bCs/>
              </w:rPr>
              <w:t xml:space="preserve">0.073</w:t>
            </w:r>
          </w:p>
        </w:tc>
        <w:tc>
          <w:tcPr/>
          <w:p>
            <w:pPr>
              <w:pStyle w:val="Compact"/>
            </w:pPr>
            <w:r>
              <w:t xml:space="preserve">0.013</w:t>
            </w:r>
          </w:p>
        </w:tc>
        <w:tc>
          <w:tcPr/>
          <w:p>
            <w:pPr>
              <w:pStyle w:val="Compact"/>
            </w:pPr>
            <w:r>
              <w:t xml:space="preserve">0.039</w:t>
            </w:r>
          </w:p>
        </w:tc>
        <w:tc>
          <w:tcPr/>
          <w:p>
            <w:pPr>
              <w:pStyle w:val="Compact"/>
            </w:pPr>
            <w:r>
              <w:t xml:space="preserve">0.015</w:t>
            </w:r>
          </w:p>
        </w:tc>
      </w:tr>
      <w:tr>
        <w:tc>
          <w:tcPr/>
          <w:p>
            <w:pPr>
              <w:pStyle w:val="Compact"/>
            </w:pPr>
            <w:r>
              <w:t xml:space="preserve">Turnover</w:t>
            </w:r>
          </w:p>
        </w:tc>
        <w:tc>
          <w:tcPr/>
          <w:p>
            <w:pPr>
              <w:pStyle w:val="Compact"/>
            </w:pPr>
            <w:r>
              <w:t xml:space="preserve">0.024</w:t>
            </w:r>
          </w:p>
        </w:tc>
        <w:tc>
          <w:tcPr/>
          <w:p>
            <w:pPr>
              <w:pStyle w:val="Compact"/>
            </w:pPr>
            <w:r>
              <w:t xml:space="preserve">0.006</w:t>
            </w:r>
          </w:p>
        </w:tc>
        <w:tc>
          <w:tcPr/>
          <w:p>
            <w:pPr>
              <w:pStyle w:val="Compact"/>
            </w:pPr>
            <w:r>
              <w:t xml:space="preserve">0.001</w:t>
            </w:r>
          </w:p>
        </w:tc>
        <w:tc>
          <w:tcPr/>
          <w:p>
            <w:pPr>
              <w:pStyle w:val="Compact"/>
            </w:pPr>
            <w:r>
              <w:t xml:space="preserve">0.013</w:t>
            </w:r>
          </w:p>
        </w:tc>
        <w:tc>
          <w:tcPr/>
          <w:p>
            <w:pPr>
              <w:pStyle w:val="Compact"/>
            </w:pPr>
            <w:r>
              <w:t xml:space="preserve">0.004</w:t>
            </w:r>
          </w:p>
        </w:tc>
      </w:tr>
      <w:tr>
        <w:tc>
          <w:tcPr/>
          <w:p>
            <w:pPr>
              <w:pStyle w:val="Compact"/>
            </w:pPr>
            <w:r>
              <w:t xml:space="preserve">Nestedness</w:t>
            </w:r>
          </w:p>
        </w:tc>
        <w:tc>
          <w:tcPr/>
          <w:p>
            <w:pPr>
              <w:pStyle w:val="Compact"/>
            </w:pPr>
            <w:r>
              <w:t xml:space="preserve">0.092</w:t>
            </w:r>
          </w:p>
        </w:tc>
        <w:tc>
          <w:tcPr/>
          <w:p>
            <w:pPr>
              <w:pStyle w:val="Compact"/>
            </w:pPr>
            <w:r>
              <w:t xml:space="preserve">0.025</w:t>
            </w:r>
          </w:p>
        </w:tc>
        <w:tc>
          <w:tcPr/>
          <w:p>
            <w:pPr>
              <w:pStyle w:val="Compact"/>
            </w:pPr>
            <w:r>
              <w:t xml:space="preserve">0.000</w:t>
            </w:r>
          </w:p>
        </w:tc>
        <w:tc>
          <w:tcPr/>
          <w:p>
            <w:pPr>
              <w:pStyle w:val="Compact"/>
            </w:pPr>
            <w:r>
              <w:rPr>
                <w:b/>
                <w:bCs/>
              </w:rPr>
              <w:t xml:space="preserve">0.056</w:t>
            </w:r>
          </w:p>
        </w:tc>
        <w:tc>
          <w:tcPr/>
          <w:p>
            <w:pPr>
              <w:pStyle w:val="Compact"/>
            </w:pPr>
            <w:r>
              <w:t xml:space="preserve">0.011</w:t>
            </w:r>
          </w:p>
        </w:tc>
      </w:tr>
    </w:tbl>
    <w:p>
      <w:pPr>
        <w:pStyle w:val="BodyText"/>
      </w:pPr>
      <w:r>
        <w:t xml:space="preserve">Structure is the largest unique alpha block; dynamics the largest unique nestedness block — identical to the main analysis. Output:</w:t>
      </w:r>
      <w:r>
        <w:t xml:space="preserve"> </w:t>
      </w:r>
      <w:r>
        <w:rPr>
          <w:rStyle w:val="VerbatimChar"/>
        </w:rPr>
        <w:t xml:space="preserve">results/O0_framework/varpart_robust.csv</w:t>
      </w:r>
      <w:r>
        <w:t xml:space="preserve">.</w:t>
      </w:r>
    </w:p>
    <w:p>
      <w:pPr>
        <w:pStyle w:val="BodyText"/>
      </w:pPr>
      <w:r>
        <w:rPr>
          <w:b/>
          <w:bCs/>
        </w:rPr>
        <w:t xml:space="preserve">Method 3 — GDM-family saturation model (beta, §3.1b).</w:t>
      </w:r>
      <w:r>
        <w:t xml:space="preserve"> </w:t>
      </w:r>
      <w:r>
        <w:t xml:space="preserve">Monotone-spline generalized dissimilarity model of Bray–Curtis composition on structural + spectral distance, within-site permutation (999). Deviance explained = 0.122 (p = 0.002); structure and spectral contribute non-redundantly (structure 45% : spectral 55% of fitted transform SD), confirming that remote-sensing heterogeneity tracks compositional turnover once analysed as dissimilarity rather than predictor levels.</w:t>
      </w:r>
    </w:p>
    <w:p>
      <w:pPr>
        <w:pStyle w:val="BodyText"/>
      </w:pPr>
      <w:r>
        <w:rPr>
          <w:b/>
          <w:bCs/>
        </w:rPr>
        <w:t xml:space="preserve">Method 4 — Restricted-permutation Mantel (beta, §3.1b).</w:t>
      </w:r>
      <w:r>
        <w:t xml:space="preserve"> </w:t>
      </w:r>
      <w:r>
        <w:t xml:space="preserve">Within-site (plots permuted only within sites; biogeography held fixed), 999 permutations, 23 sites. Structural distance vs Bray–Curtis: Mantel r = +0.264 (Pearson) / +0.32 (Spearman); spectral distance r = +0.293 / +0.30; both p = 0.001. Rank-based estimates are reported in the main text as robust to the Bray–Curtis = 1 ceiling.</w:t>
      </w:r>
    </w:p>
    <w:p>
      <w:pPr>
        <w:pStyle w:val="BodyText"/>
      </w:pPr>
      <w:r>
        <w:rPr>
          <w:b/>
          <w:bCs/>
        </w:rPr>
        <w:t xml:space="preserve">Bottom line.</w:t>
      </w:r>
      <w:r>
        <w:t xml:space="preserve"> </w:t>
      </w:r>
      <w:r>
        <w:t xml:space="preserve">The framework conclusions are not artifacts of one inferential recipe: structure→alpha and dynamics→nestedness hold under partial-pooling Bayesian estimation and formal variation partitioning, and the beta/heterogeneity signal holds under both a saturation (GDM) model and restricted-permutation Mantel tests. The only substantive change relative to the conservative wild-bootstrap joint test is that the Bayesian coefficient-level analysis elevates dynamics→nestedness from</w:t>
      </w:r>
      <w:r>
        <w:t xml:space="preserve"> </w:t>
      </w:r>
      <w:r>
        <w:t xml:space="preserve">“descriptive”</w:t>
      </w:r>
      <w:r>
        <w:t xml:space="preserve"> </w:t>
      </w:r>
      <w:r>
        <w:t xml:space="preserve">to</w:t>
      </w:r>
      <w:r>
        <w:t xml:space="preserve"> </w:t>
      </w:r>
      <w:r>
        <w:t xml:space="preserve">“credibly supported”</w:t>
      </w:r>
      <w:r>
        <w:t xml:space="preserve"> </w:t>
      </w:r>
      <w:r>
        <w:t xml:space="preserve">(adopted in §3.1, §3.3, §4.2).</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2026-08-17T01:10:40Z</dcterms:created>
  <dcterms:modified xsi:type="dcterms:W3CDTF">2026-08-17T01:10:40Z</dcterms:modified>
</cp:coreProperties>
</file>

<file path=docProps/custom.xml><?xml version="1.0" encoding="utf-8"?>
<Properties xmlns="http://schemas.openxmlformats.org/officeDocument/2006/custom-properties" xmlns:vt="http://schemas.openxmlformats.org/officeDocument/2006/docPropsVTypes"/>
</file>