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072ca04be9116156615100fdd1d55491b73a78a"/>
    <w:p>
      <w:pPr>
        <w:pStyle w:val="Heading1"/>
      </w:pPr>
      <w:r>
        <w:t xml:space="preserve">RSE Submission Package — Highlights &amp; Cover Letter (draft)</w:t>
      </w:r>
    </w:p>
    <w:bookmarkStart w:id="9" w:name="X8cc96d1673109601586a1d6c859e8ced22345db"/>
    <w:p>
      <w:pPr>
        <w:pStyle w:val="Heading2"/>
      </w:pPr>
      <w:r>
        <w:t xml:space="preserve">Highlights (3–5 bullets, ≤85 characters each incl. spaces)</w:t>
      </w:r>
    </w:p>
    <w:p>
      <w:pPr>
        <w:pStyle w:val="Compact"/>
        <w:numPr>
          <w:ilvl w:val="0"/>
          <w:numId w:val="1001"/>
        </w:numPr>
      </w:pPr>
      <w:r>
        <w:t xml:space="preserve">Structure, structural dynamics, and GPP carry complementary tree-diversity signals</w:t>
      </w:r>
    </w:p>
    <w:p>
      <w:pPr>
        <w:pStyle w:val="Compact"/>
        <w:numPr>
          <w:ilvl w:val="0"/>
          <w:numId w:val="1001"/>
        </w:numPr>
      </w:pPr>
      <w:r>
        <w:t xml:space="preserve">Repeat-LiDAR structural trends uniquely indicate richness difference (nestedness)</w:t>
      </w:r>
    </w:p>
    <w:p>
      <w:pPr>
        <w:pStyle w:val="Compact"/>
        <w:numPr>
          <w:ilvl w:val="0"/>
          <w:numId w:val="1001"/>
        </w:numPr>
      </w:pPr>
      <w:r>
        <w:t xml:space="preserve">Species replacement is visible only as remote-sensing dissimilarity, not levels</w:t>
      </w:r>
    </w:p>
    <w:p>
      <w:pPr>
        <w:pStyle w:val="Compact"/>
        <w:numPr>
          <w:ilvl w:val="0"/>
          <w:numId w:val="1001"/>
        </w:numPr>
      </w:pPr>
      <w:r>
        <w:t xml:space="preserve">Tower-confirmed species–energy relationship is monotonic, with no productivity hump</w:t>
      </w:r>
    </w:p>
    <w:p>
      <w:pPr>
        <w:pStyle w:val="Compact"/>
        <w:numPr>
          <w:ilvl w:val="0"/>
          <w:numId w:val="1001"/>
        </w:numPr>
      </w:pPr>
      <w:r>
        <w:t xml:space="preserve">Spectral greenness is the weakest dimension, informative for alpha diversity only</w:t>
      </w:r>
    </w:p>
    <w:bookmarkEnd w:id="9"/>
    <w:bookmarkStart w:id="10" w:name="cover-letter-draft"/>
    <w:p>
      <w:pPr>
        <w:pStyle w:val="Heading2"/>
      </w:pPr>
      <w:r>
        <w:t xml:space="preserve">Cover Letter (draft)</w:t>
      </w:r>
    </w:p>
    <w:p>
      <w:pPr>
        <w:pStyle w:val="FirstParagraph"/>
      </w:pPr>
      <w:r>
        <w:t xml:space="preserve">Dear Editors,</w:t>
      </w:r>
    </w:p>
    <w:p>
      <w:pPr>
        <w:pStyle w:val="BodyText"/>
      </w:pPr>
      <w:r>
        <w:t xml:space="preserve">We are pleased to submit our manuscript,</w:t>
      </w:r>
      <w:r>
        <w:t xml:space="preserve"> </w:t>
      </w:r>
      <w:r>
        <w:t xml:space="preserve">“Static canopy state, structural dynamics, and ecosystem productivity capture distinct dimensions of forest biodiversity across North America,”</w:t>
      </w:r>
      <w:r>
        <w:t xml:space="preserve"> </w:t>
      </w:r>
      <w:r>
        <w:t xml:space="preserve">for consideration in</w:t>
      </w:r>
      <w:r>
        <w:t xml:space="preserve"> </w:t>
      </w:r>
      <w:r>
        <w:rPr>
          <w:i/>
          <w:iCs/>
        </w:rPr>
        <w:t xml:space="preserve">Remote Sensing of Environment</w:t>
      </w:r>
      <w:r>
        <w:t xml:space="preserve">.</w:t>
      </w:r>
    </w:p>
    <w:p>
      <w:pPr>
        <w:pStyle w:val="BodyText"/>
      </w:pPr>
      <w:r>
        <w:t xml:space="preserve">Remote-sensing studies of forest biodiversity typically ask whether a sensor predicts species diversity. Our study asks a question one level higher:</w:t>
      </w:r>
      <w:r>
        <w:t xml:space="preserve"> </w:t>
      </w:r>
      <w:r>
        <w:rPr>
          <w:b/>
          <w:bCs/>
        </w:rPr>
        <w:t xml:space="preserve">which remotely sensed signal carries which dimension of biodiversity, and under which analytical framing does each signal become visible?</w:t>
      </w:r>
      <w:r>
        <w:t xml:space="preserve"> </w:t>
      </w:r>
      <w:r>
        <w:t xml:space="preserve">Across 26 forested NEON sites spanning temperate to boreal North America (644 plots, 12 eco-climatic domains), we partitioned tree diversity into alpha diversity and the turnover and nestedness components of beta diversity, and related each to three remote-sensing dimensions: static canopy state (airborne LiDAR structure and BRDF-corrected spectral indices), structural dynamics (interannual trends from repeated LiDAR acquisitions), and ecosystem productivity (MODIS, PML-V2, and eddy-covariance GPP).</w:t>
      </w:r>
    </w:p>
    <w:p>
      <w:pPr>
        <w:pStyle w:val="BodyText"/>
      </w:pPr>
      <w:r>
        <w:t xml:space="preserve">The answer is a division of labour, not redundancy. Static structure dominates alpha diversity; spectral greenness — still the most common remote proxy for diversity — is the weakest of the three dimensions and informative for alpha only. The temporal trajectory of canopy structure, a dimension newly observable from repeated airborne LiDAR, accounts for the largest unique variance fraction in richness difference (nestedness), with three interannual trends showing credible Bayesian associations. Compositional turnover is invisible to every predictor level yet becomes visible when the same observations are expressed as between-plot dissimilarity — a demonstration that whether remote sensing</w:t>
      </w:r>
      <w:r>
        <w:t xml:space="preserve"> </w:t>
      </w:r>
      <w:r>
        <w:t xml:space="preserve">“captures”</w:t>
      </w:r>
      <w:r>
        <w:t xml:space="preserve"> </w:t>
      </w:r>
      <w:r>
        <w:t xml:space="preserve">beta diversity depends on how the question is posed, not only on the sensor. Finally, using realized carbon uptake rather than greenness, and validating against eddy-covariance towers, we show the species–energy relationship is monotonic, with no support for the productivity</w:t>
      </w:r>
      <w:r>
        <w:t xml:space="preserve"> </w:t>
      </w:r>
      <w:r>
        <w:t xml:space="preserve">“hump”</w:t>
      </w:r>
      <w:r>
        <w:t xml:space="preserve"> </w:t>
      </w:r>
      <w:r>
        <w:t xml:space="preserve">reported from greenness-based proxies.</w:t>
      </w:r>
    </w:p>
    <w:p>
      <w:pPr>
        <w:pStyle w:val="BodyText"/>
      </w:pPr>
      <w:r>
        <w:t xml:space="preserve">Because inference rests on 26 site clusters, we anchored significance on restricted wild cluster bootstrap tests, complemented them with fully converged Bayesian multilevel models (with a prior-sensitivity check), and triangulated the beta-diversity results across four independent methods. Where the two satellite GPP products produced a statistical suppression pattern, we declined to interpret it and moved productivity to the site scale — we believe this conservatism is appropriate for a monitoring-oriented readership.</w:t>
      </w:r>
    </w:p>
    <w:p>
      <w:pPr>
        <w:pStyle w:val="BodyText"/>
      </w:pPr>
      <w:r>
        <w:t xml:space="preserve">The framework transfers directly to the spaceborne era: GEDI supplies structural levels and, with repeated sampling, trajectories; imaging spectrometers supply the spectral dissimilarity axis; and flux-constrained GPP products supply the energy axis. The practical message for biodiversity monitoring is to match both the sensor and the analytical framing to the diversity dimension of interest.</w:t>
      </w:r>
    </w:p>
    <w:p>
      <w:pPr>
        <w:pStyle w:val="BodyText"/>
      </w:pPr>
      <w:r>
        <w:t xml:space="preserve">This manuscript is original, is not under consideration elsewhere, and all authors have approved the submission. Data are from public NEON, AmeriFlux, and satellite archives; analysis code and derived tables will be archived on publication.</w:t>
      </w:r>
    </w:p>
    <w:p>
      <w:pPr>
        <w:pStyle w:val="BodyText"/>
      </w:pPr>
      <w:r>
        <w:t xml:space="preserve">Thank you for your consideration.</w:t>
      </w:r>
    </w:p>
    <w:p>
      <w:pPr>
        <w:pStyle w:val="BodyText"/>
      </w:pPr>
      <w:r>
        <w:t xml:space="preserve">Sincerely,</w:t>
      </w:r>
      <w:r>
        <w:t xml:space="preserve"> </w:t>
      </w:r>
      <w:r>
        <w:t xml:space="preserve">Dennis Heejoon Choi, on behalf of the authors</w:t>
      </w:r>
      <w:r>
        <w:t xml:space="preserve"> </w:t>
      </w:r>
      <w:r>
        <w:t xml:space="preserve">[affiliation / email]</w:t>
      </w:r>
    </w:p>
    <w:bookmarkEnd w:id="10"/>
    <w:bookmarkStart w:id="11" w:name="suggested-reviewers-to-fill"/>
    <w:p>
      <w:pPr>
        <w:pStyle w:val="Heading2"/>
      </w:pPr>
      <w:r>
        <w:t xml:space="preserve">Suggested reviewers (to fill)</w:t>
      </w:r>
    </w:p>
    <w:p>
      <w:pPr>
        <w:pStyle w:val="Compact"/>
        <w:numPr>
          <w:ilvl w:val="0"/>
          <w:numId w:val="1002"/>
        </w:numPr>
      </w:pPr>
      <w:r>
        <w:t xml:space="preserve">[structural diversity / NEON: e.g., E. LaRue, B. Hardiman — check conflicts]</w:t>
      </w:r>
    </w:p>
    <w:p>
      <w:pPr>
        <w:pStyle w:val="Compact"/>
        <w:numPr>
          <w:ilvl w:val="0"/>
          <w:numId w:val="1002"/>
        </w:numPr>
      </w:pPr>
      <w:r>
        <w:t xml:space="preserve">[beta-diversity / macroecology: …]</w:t>
      </w:r>
    </w:p>
    <w:p>
      <w:pPr>
        <w:pStyle w:val="Compact"/>
        <w:numPr>
          <w:ilvl w:val="0"/>
          <w:numId w:val="1002"/>
        </w:numPr>
      </w:pPr>
      <w:r>
        <w:t xml:space="preserve">[LiDAR change detection / GEDI: …]</w:t>
      </w:r>
    </w:p>
    <w:bookmarkEnd w:id="11"/>
    <w:bookmarkStart w:id="12" w:name="checklist-before-submission"/>
    <w:p>
      <w:pPr>
        <w:pStyle w:val="Heading2"/>
      </w:pPr>
      <w:r>
        <w:t xml:space="preserve">Checklist before submission</w:t>
      </w:r>
    </w:p>
    <w:p>
      <w:pPr>
        <w:pStyle w:val="Compact"/>
        <w:numPr>
          <w:ilvl w:val="0"/>
          <w:numId w:val="1003"/>
        </w:numPr>
      </w:pPr>
      <w:r>
        <w:t xml:space="preserve">References finalized (author–year placeholders in text)</w:t>
      </w:r>
    </w:p>
    <w:p>
      <w:pPr>
        <w:pStyle w:val="Compact"/>
        <w:numPr>
          <w:ilvl w:val="0"/>
          <w:numId w:val="1004"/>
        </w:numPr>
      </w:pPr>
      <w:r>
        <w:t xml:space="preserve">Title page (authors, affiliations, CRediT, acknowledgements, data availability)</w:t>
      </w:r>
    </w:p>
    <w:p>
      <w:pPr>
        <w:pStyle w:val="Compact"/>
        <w:numPr>
          <w:ilvl w:val="0"/>
          <w:numId w:val="1005"/>
        </w:numPr>
      </w:pPr>
      <w:r>
        <w:t xml:space="preserve">Graphical abstract (adapt Figure 1 concept diagram)</w:t>
      </w:r>
    </w:p>
    <w:p>
      <w:pPr>
        <w:pStyle w:val="Compact"/>
        <w:numPr>
          <w:ilvl w:val="0"/>
          <w:numId w:val="1006"/>
        </w:numPr>
      </w:pPr>
      <w:r>
        <w:t xml:space="preserve">Figures as separate high-res files (Figure_1–6.png, 400 dpi ✓)</w:t>
      </w:r>
    </w:p>
    <w:p>
      <w:pPr>
        <w:pStyle w:val="Compact"/>
        <w:numPr>
          <w:ilvl w:val="0"/>
          <w:numId w:val="1007"/>
        </w:numPr>
      </w:pPr>
      <w:r>
        <w:t xml:space="preserve">Supplementary (S1–S8) formatted</w:t>
      </w:r>
    </w:p>
    <w:p>
      <w:pPr>
        <w:pStyle w:val="Compact"/>
        <w:numPr>
          <w:ilvl w:val="0"/>
          <w:numId w:val="1008"/>
        </w:numPr>
      </w:pPr>
      <w:r>
        <w:t xml:space="preserve">Conflict-of-interest &amp; author statements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2026-08-17T01:12:25Z</dcterms:created>
  <dcterms:modified xsi:type="dcterms:W3CDTF">2026-08-17T01:12:25Z</dcterms:modified>
</cp:coreProperties>
</file>

<file path=docProps/custom.xml><?xml version="1.0" encoding="utf-8"?>
<Properties xmlns="http://schemas.openxmlformats.org/officeDocument/2006/custom-properties" xmlns:vt="http://schemas.openxmlformats.org/officeDocument/2006/docPropsVTypes"/>
</file>