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upplementary-information-stub"/>
    <w:p>
      <w:pPr>
        <w:pStyle w:val="Heading1"/>
      </w:pPr>
      <w:r>
        <w:t xml:space="preserve">Supplementary Information (stub)</w:t>
      </w:r>
    </w:p>
    <w:p>
      <w:pPr>
        <w:pStyle w:val="FirstParagraph"/>
      </w:pPr>
      <w:r>
        <w:t xml:space="preserve">Reproducibility: the plot-level framework and its block tests are produced by</w:t>
      </w:r>
      <w:r>
        <w:t xml:space="preserve"> </w:t>
      </w:r>
      <w:r>
        <w:rPr>
          <w:rStyle w:val="VerbatimChar"/>
        </w:rPr>
        <w:t xml:space="preserve">scripts_pipeline/framework_state_dynamics.py</w:t>
      </w:r>
      <w:r>
        <w:t xml:space="preserve">; the Bayesian models by</w:t>
      </w:r>
      <w:r>
        <w:t xml:space="preserve"> </w:t>
      </w:r>
      <w:r>
        <w:rPr>
          <w:rStyle w:val="VerbatimChar"/>
        </w:rPr>
        <w:t xml:space="preserve">bayes_multilevel.py</w:t>
      </w:r>
      <w:r>
        <w:t xml:space="preserve"> </w:t>
      </w:r>
      <w:r>
        <w:t xml:space="preserve">(prior check:</w:t>
      </w:r>
      <w:r>
        <w:t xml:space="preserve"> </w:t>
      </w:r>
      <w:r>
        <w:rPr>
          <w:rStyle w:val="VerbatimChar"/>
        </w:rPr>
        <w:t xml:space="preserve">bayes_prior_sens.py</w:t>
      </w:r>
      <w:r>
        <w:t xml:space="preserve">); the dissimilarity analyses by</w:t>
      </w:r>
      <w:r>
        <w:t xml:space="preserve"> </w:t>
      </w:r>
      <w:r>
        <w:rPr>
          <w:rStyle w:val="VerbatimChar"/>
        </w:rPr>
        <w:t xml:space="preserve">rs_beta_mantel.py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rs_beta_gdm_full.py</w:t>
      </w:r>
      <w:r>
        <w:t xml:space="preserve">; the productivity diagnostic by</w:t>
      </w:r>
      <w:r>
        <w:t xml:space="preserve"> </w:t>
      </w:r>
      <w:r>
        <w:rPr>
          <w:rStyle w:val="VerbatimChar"/>
        </w:rPr>
        <w:t xml:space="preserve">recompute_suppression_26.py</w:t>
      </w:r>
      <w:r>
        <w:t xml:space="preserve">. All numbers in the main text are re-derived from the source data by</w:t>
      </w:r>
      <w:r>
        <w:t xml:space="preserve"> </w:t>
      </w:r>
      <w:r>
        <w:rPr>
          <w:rStyle w:val="VerbatimChar"/>
        </w:rPr>
        <w:t xml:space="preserve">verify_manuscript_numbers.py</w:t>
      </w:r>
      <w:r>
        <w:t xml:space="preserve">.</w:t>
      </w:r>
    </w:p>
    <w:bookmarkStart w:id="9" w:name="Xfd719892673db0d47778e571c3ae2ce3fb89737"/>
    <w:p>
      <w:pPr>
        <w:pStyle w:val="Heading2"/>
      </w:pPr>
      <w:r>
        <w:t xml:space="preserve">Supplementary Methods S1 — Regression-to-the-mean (RTM) null model</w:t>
      </w:r>
    </w:p>
    <w:p>
      <w:pPr>
        <w:pStyle w:val="FirstParagraph"/>
      </w:pPr>
      <w:r>
        <w:t xml:space="preserve">Apparent buffering or amplification between initial canopy structure and subsequent structural change was tested against a regression-to-the-mean null. The null assumes no biological feedback between initial state and subsequent change while preserving the observed variance and measurement error of the repeated LiDAR observations; expected initial–change relationships under pure RTM were simulated and compared with the observed slopes. Only observed relationships exceeding the RTM envelope were interpreted as biological regulation.</w:t>
      </w:r>
    </w:p>
    <w:bookmarkEnd w:id="9"/>
    <w:bookmarkStart w:id="10" w:name="X8d10f4362f7ec8dcb7603ff1da27b8a78ada37e"/>
    <w:p>
      <w:pPr>
        <w:pStyle w:val="Heading2"/>
      </w:pPr>
      <w:r>
        <w:t xml:space="preserve">Supplementary Table S1 — Response transformation check (structural-dynamics increment, LRT p)</w:t>
      </w:r>
    </w:p>
    <w:p>
      <w:pPr>
        <w:pStyle w:val="FirstParagraph"/>
      </w:pPr>
      <w:r>
        <w:t xml:space="preserve">Hill numbers are log-transformed in the main analysis (log restores homoscedasticity and approximate normality: Breusch–Pagan p &gt; 0.4, Shapiro–Wilk p &gt; 0.2). The dynamics increment is significant on either scale, so the conclusion does not depend on the transformation.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dynamics increment, raw scale</w:t>
            </w:r>
          </w:p>
        </w:tc>
        <w:tc>
          <w:tcPr/>
          <w:p>
            <w:pPr>
              <w:pStyle w:val="Compact"/>
            </w:pPr>
            <w:r>
              <w:t xml:space="preserve">dynamics increment, log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q1</w:t>
            </w:r>
          </w:p>
        </w:tc>
        <w:tc>
          <w:tcPr/>
          <w:p>
            <w:pPr>
              <w:pStyle w:val="Compact"/>
            </w:pPr>
            <w:r>
              <w:t xml:space="preserve">6.2e-08</w:t>
            </w:r>
          </w:p>
        </w:tc>
        <w:tc>
          <w:tcPr/>
          <w:p>
            <w:pPr>
              <w:pStyle w:val="Compact"/>
            </w:pPr>
            <w:r>
              <w:t xml:space="preserve">9.2e-13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q2</w:t>
            </w:r>
          </w:p>
        </w:tc>
        <w:tc>
          <w:tcPr/>
          <w:p>
            <w:pPr>
              <w:pStyle w:val="Compact"/>
            </w:pPr>
            <w:r>
              <w:t xml:space="preserve">8.0e-06</w:t>
            </w:r>
          </w:p>
        </w:tc>
        <w:tc>
          <w:tcPr/>
          <w:p>
            <w:pPr>
              <w:pStyle w:val="Compact"/>
            </w:pPr>
            <w:r>
              <w:t xml:space="preserve">2.6e-10</w:t>
            </w:r>
          </w:p>
        </w:tc>
      </w:tr>
    </w:tbl>
    <w:bookmarkEnd w:id="10"/>
    <w:bookmarkStart w:id="11" w:name="X00c30b6dcb3d7f6da167dd1b16f4f8021119d09"/>
    <w:p>
      <w:pPr>
        <w:pStyle w:val="Heading2"/>
      </w:pPr>
      <w:r>
        <w:t xml:space="preserve">Supplementary Table S1b — Few-cluster-valid block test for structural dynamics (26 sites)</w:t>
      </w:r>
    </w:p>
    <w:p>
      <w:pPr>
        <w:pStyle w:val="FirstParagraph"/>
      </w:pPr>
      <w:r>
        <w:t xml:space="preserve">Restricted wild cluster bootstrap (Rademacher weights, 999 replicates) is the primary block test; the asymptotic cluster-robust Wald p is shown for contrast (anticonservative at this cluster count). Productivity is not a plot-level block (Section 2.5), so only the dynamics increment is tested here. Source:</w:t>
      </w:r>
      <w:r>
        <w:t xml:space="preserve"> </w:t>
      </w:r>
      <w:r>
        <w:rPr>
          <w:rStyle w:val="VerbatimChar"/>
        </w:rPr>
        <w:t xml:space="preserve">wildboot_sd.csv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cluster_wald_sd.csv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dynamics ΔR²</w:t>
            </w:r>
          </w:p>
        </w:tc>
        <w:tc>
          <w:tcPr/>
          <w:p>
            <w:pPr>
              <w:pStyle w:val="Compact"/>
            </w:pPr>
            <w:r>
              <w:t xml:space="preserve">dynamics: Wald 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dynamics: wild-boot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q1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2.3e-5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q2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1.8e-5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Turnover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Nestedness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0.0044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0.143</w:t>
            </w:r>
          </w:p>
        </w:tc>
      </w:tr>
    </w:tbl>
    <w:p>
      <w:pPr>
        <w:pStyle w:val="BodyText"/>
      </w:pPr>
      <w:r>
        <w:t xml:space="preserve">The dynamics increment is significant for both alpha metrics and does not reject the joint null for either beta component; the nestedness association is supported at the coefficient level instead (Table S8).</w:t>
      </w:r>
    </w:p>
    <w:bookmarkEnd w:id="11"/>
    <w:bookmarkStart w:id="12" w:name="Xa98ccfffc02961f4fc5bb750c4964b4bb365ab6"/>
    <w:p>
      <w:pPr>
        <w:pStyle w:val="Heading2"/>
      </w:pPr>
      <w:r>
        <w:t xml:space="preserve">Supplementary Table S2 — Beta components: Gaussian OLS vs beta regression (structural-dynamics increment, LRT p)</w:t>
      </w:r>
    </w:p>
    <w:p>
      <w:pPr>
        <w:pStyle w:val="FirstParagraph"/>
      </w:pPr>
      <w:r>
        <w:t xml:space="preserve">The beta components are bounded proportions, so the nested comparison was repeated with beta regression. Both models support the dynamics increment for both components; beta regression is the more liberal of the two, and the Gaussian result is reported in the main text as the conservative choice.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Gaussian OLS</w:t>
            </w:r>
          </w:p>
        </w:tc>
        <w:tc>
          <w:tcPr/>
          <w:p>
            <w:pPr>
              <w:pStyle w:val="Compact"/>
            </w:pPr>
            <w:r>
              <w:t xml:space="preserve">beta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Turnover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1.8e-12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Nestedness</w:t>
            </w:r>
          </w:p>
        </w:tc>
        <w:tc>
          <w:tcPr/>
          <w:p>
            <w:pPr>
              <w:pStyle w:val="Compact"/>
            </w:pPr>
            <w:r>
              <w:t xml:space="preserve">3.1e-09</w:t>
            </w:r>
          </w:p>
        </w:tc>
        <w:tc>
          <w:tcPr/>
          <w:p>
            <w:pPr>
              <w:pStyle w:val="Compact"/>
            </w:pPr>
            <w:r>
              <w:t xml:space="preserve">4.5e-19</w:t>
            </w:r>
          </w:p>
        </w:tc>
      </w:tr>
    </w:tbl>
    <w:bookmarkEnd w:id="12"/>
    <w:bookmarkStart w:id="13" w:name="Xa8f175bfa83fac7dc0f079b748e6cee9e0c2bcb"/>
    <w:p>
      <w:pPr>
        <w:pStyle w:val="Heading2"/>
      </w:pPr>
      <w:r>
        <w:t xml:space="preserve">Supplementary Table S3 — Variance partition beyond domain (unique and shared fractions)</w:t>
      </w:r>
    </w:p>
    <w:p>
      <w:pPr>
        <w:pStyle w:val="FirstParagraph"/>
      </w:pPr>
      <w:r>
        <w:t xml:space="preserve">The main text reports the unique (semi-partial) fractions; the shared fraction is given here for completeness. Plot-level blocks only — productivity is analysed at the site scale (Section 3.5). Source:</w:t>
      </w:r>
      <w:r>
        <w:t xml:space="preserve"> </w:t>
      </w:r>
      <w:r>
        <w:rPr>
          <w:rStyle w:val="VerbatimChar"/>
        </w:rPr>
        <w:t xml:space="preserve">variance_partition_sd.csv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total R² beyond domain</w:t>
            </w:r>
          </w:p>
        </w:tc>
        <w:tc>
          <w:tcPr/>
          <w:p>
            <w:pPr>
              <w:pStyle w:val="Compact"/>
            </w:pPr>
            <w:r>
              <w:t xml:space="preserve">unique structure</w:t>
            </w:r>
          </w:p>
        </w:tc>
        <w:tc>
          <w:tcPr/>
          <w:p>
            <w:pPr>
              <w:pStyle w:val="Compact"/>
            </w:pPr>
            <w:r>
              <w:t xml:space="preserve">unique spectral</w:t>
            </w:r>
          </w:p>
        </w:tc>
        <w:tc>
          <w:tcPr/>
          <w:p>
            <w:pPr>
              <w:pStyle w:val="Compact"/>
            </w:pPr>
            <w:r>
              <w:t xml:space="preserve">unique dynamics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q1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q2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Turnover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Nestedness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</w:tr>
    </w:tbl>
    <w:bookmarkEnd w:id="13"/>
    <w:bookmarkStart w:id="14" w:name="X634dd3ff81887502b2782cae310508256641ea6"/>
    <w:p>
      <w:pPr>
        <w:pStyle w:val="Heading2"/>
      </w:pPr>
      <w:r>
        <w:t xml:space="preserve">Supplementary Table S4 — Mixed vs clustered-OLS fixed effects</w:t>
      </w:r>
    </w:p>
    <w:p>
      <w:pPr>
        <w:pStyle w:val="FirstParagraph"/>
      </w:pPr>
      <w:r>
        <w:t xml:space="preserve">Site random-intercept variance estimated at 0 (singular); standardized fixed-effect coefficients closely similar (mean |Δ| = 0.03, max |Δ| = 0.05, r = 0.93 across 14 RS predictors).</w:t>
      </w:r>
    </w:p>
    <w:bookmarkEnd w:id="14"/>
    <w:bookmarkStart w:id="15" w:name="X1fad0d12d55790b26f47c8484d3b03bdf3db861"/>
    <w:p>
      <w:pPr>
        <w:pStyle w:val="Heading2"/>
      </w:pPr>
      <w:r>
        <w:t xml:space="preserve">Supplementary Table S5 — Climate control (NEON site MAT/MAP)</w:t>
      </w:r>
    </w:p>
    <w:p>
      <w:pPr>
        <w:pStyle w:val="FirstParagraph"/>
      </w:pPr>
      <w:r>
        <w:t xml:space="preserve">Climate = NEON site-level mean annual temperature and precipitation (</w:t>
      </w:r>
      <w:r>
        <w:rPr>
          <w:rStyle w:val="VerbatimChar"/>
        </w:rPr>
        <w:t xml:space="preserve">data/site_climate_neon.csv</w:t>
      </w:r>
      <w:r>
        <w:t xml:space="preserve">). Domain and continuous climate are collinear, so climate is used as an alternative baseline rather than an additional covariate. Source:</w:t>
      </w:r>
      <w:r>
        <w:t xml:space="preserve"> </w:t>
      </w:r>
      <w:r>
        <w:rPr>
          <w:rStyle w:val="VerbatimChar"/>
        </w:rPr>
        <w:t xml:space="preserve">climate_species_energy.csv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climate_nested_compare.csv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(a) Does GPP add beyond climate alone? (the species–energy signal is not a climate artifact)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R² climate only</w:t>
            </w:r>
          </w:p>
        </w:tc>
        <w:tc>
          <w:tcPr/>
          <w:p>
            <w:pPr>
              <w:pStyle w:val="Compact"/>
            </w:pPr>
            <w:r>
              <w:t xml:space="preserve">ΔR² GPP beyond climate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MODIS β (clustered)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q1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1.4e-35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+0.240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q2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  <w:r>
              <w:t xml:space="preserve">3.4e-31</w:t>
            </w:r>
          </w:p>
        </w:tc>
        <w:tc>
          <w:tcPr/>
          <w:p>
            <w:pPr>
              <w:pStyle w:val="Compact"/>
            </w:pPr>
            <w:r>
              <w:t xml:space="preserve">+0.205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Turnover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t xml:space="preserve">1.3e-34</w:t>
            </w:r>
          </w:p>
        </w:tc>
        <w:tc>
          <w:tcPr/>
          <w:p>
            <w:pPr>
              <w:pStyle w:val="Compact"/>
            </w:pPr>
            <w:r>
              <w:t xml:space="preserve">+0.056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Nestedness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9.0e-09</w:t>
            </w:r>
          </w:p>
        </w:tc>
        <w:tc>
          <w:tcPr/>
          <w:p>
            <w:pPr>
              <w:pStyle w:val="Compact"/>
            </w:pPr>
            <w:r>
              <w:t xml:space="preserve">−0.019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</w:tr>
    </w:tbl>
    <w:p>
      <w:pPr>
        <w:pStyle w:val="BodyText"/>
      </w:pPr>
      <w:r>
        <w:rPr>
          <w:b/>
          <w:bCs/>
        </w:rPr>
        <w:t xml:space="preserve">(b) Structural-dynamics increment under the domain versus climate baseline (LRT 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ΔR² dynamics (domain)</w:t>
            </w:r>
          </w:p>
        </w:tc>
        <w:tc>
          <w:tcPr/>
          <w:p>
            <w:pPr>
              <w:pStyle w:val="Compact"/>
            </w:pPr>
            <w:r>
              <w:t xml:space="preserve">p (domain)</w:t>
            </w:r>
          </w:p>
        </w:tc>
        <w:tc>
          <w:tcPr/>
          <w:p>
            <w:pPr>
              <w:pStyle w:val="Compact"/>
            </w:pPr>
            <w:r>
              <w:t xml:space="preserve">ΔR² dynamics (climate)</w:t>
            </w:r>
          </w:p>
        </w:tc>
        <w:tc>
          <w:tcPr/>
          <w:p>
            <w:pPr>
              <w:pStyle w:val="Compact"/>
            </w:pPr>
            <w:r>
              <w:t xml:space="preserve">p (climate)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q1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9.2e-13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2.4e-22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q2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2.6e-10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2.4e-19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Turnover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8.2e-06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Nestedness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3.1e-09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2.1e-12</w:t>
            </w:r>
          </w:p>
        </w:tc>
      </w:tr>
    </w:tbl>
    <w:p>
      <w:pPr>
        <w:pStyle w:val="BodyText"/>
      </w:pPr>
      <w:r>
        <w:t xml:space="preserve">The domain baseline is much stronger than the climate baseline (Hill q1 R² = 0.490 versus 0.052) because domain fixed effects absorb climatic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non-climatic biogeography (species pools, soils). Domain is therefore retained as the primary control, and climate serves as the explicit</w:t>
      </w:r>
      <w:r>
        <w:t xml:space="preserve"> </w:t>
      </w:r>
      <w:r>
        <w:t xml:space="preserve">“beyond-climate”</w:t>
      </w:r>
      <w:r>
        <w:t xml:space="preserve"> </w:t>
      </w:r>
      <w:r>
        <w:t xml:space="preserve">check. The dynamics increment is significant under both baselines for every response.</w:t>
      </w:r>
    </w:p>
    <w:bookmarkEnd w:id="15"/>
    <w:bookmarkStart w:id="16" w:name="X5acd8f4b0d45d8a571aa829674c29cae5612604"/>
    <w:p>
      <w:pPr>
        <w:pStyle w:val="Heading2"/>
      </w:pPr>
      <w:r>
        <w:t xml:space="preserve">Supplementary Table S6 — Context interactions surviving FDR (framework predictors, cluster-robust, BH within family)</w:t>
      </w:r>
    </w:p>
    <w:p>
      <w:pPr>
        <w:pStyle w:val="FirstParagraph"/>
      </w:pPr>
      <w:r>
        <w:t xml:space="preserve">The same retained predictors as the plot-level models (4 structural + EVI + 2 GPP products) crossed with each context variable: 168 terms, of which 7 survive Benjamini–Hochberg correction within family. Source:</w:t>
      </w:r>
      <w:r>
        <w:t xml:space="preserve"> </w:t>
      </w:r>
      <w:r>
        <w:rPr>
          <w:rStyle w:val="VerbatimChar"/>
        </w:rPr>
        <w:t xml:space="preserve">o4_interactions_consistent.csv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β interaction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disturbance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Hill q1</w:t>
            </w:r>
          </w:p>
        </w:tc>
        <w:tc>
          <w:tcPr/>
          <w:p>
            <w:pPr>
              <w:pStyle w:val="Compact"/>
            </w:pPr>
            <w:r>
              <w:t xml:space="preserve">LAI</w:t>
            </w:r>
          </w:p>
        </w:tc>
        <w:tc>
          <w:tcPr/>
          <w:p>
            <w:pPr>
              <w:pStyle w:val="Compact"/>
            </w:pPr>
            <w:r>
              <w:t xml:space="preserve">−0.112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disturbance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Hill q2</w:t>
            </w:r>
          </w:p>
        </w:tc>
        <w:tc>
          <w:tcPr/>
          <w:p>
            <w:pPr>
              <w:pStyle w:val="Compact"/>
            </w:pPr>
            <w:r>
              <w:t xml:space="preserve">LAI</w:t>
            </w:r>
          </w:p>
        </w:tc>
        <w:tc>
          <w:tcPr/>
          <w:p>
            <w:pPr>
              <w:pStyle w:val="Compact"/>
            </w:pPr>
            <w:r>
              <w:t xml:space="preserve">−0.106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disturbance</w:t>
            </w:r>
          </w:p>
        </w:tc>
        <w:tc>
          <w:tcPr/>
          <w:p>
            <w:pPr>
              <w:pStyle w:val="Compact"/>
            </w:pPr>
            <w:r>
              <w:t xml:space="preserve">recency</w:t>
            </w:r>
          </w:p>
        </w:tc>
        <w:tc>
          <w:tcPr/>
          <w:p>
            <w:pPr>
              <w:pStyle w:val="Compact"/>
            </w:pPr>
            <w:r>
              <w:t xml:space="preserve">Hill q1</w:t>
            </w:r>
          </w:p>
        </w:tc>
        <w:tc>
          <w:tcPr/>
          <w:p>
            <w:pPr>
              <w:pStyle w:val="Compact"/>
            </w:pPr>
            <w:r>
              <w:t xml:space="preserve">MODIS GPP</w:t>
            </w:r>
          </w:p>
        </w:tc>
        <w:tc>
          <w:tcPr/>
          <w:p>
            <w:pPr>
              <w:pStyle w:val="Compact"/>
            </w:pPr>
            <w:r>
              <w:t xml:space="preserve">−0.147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disturbance</w:t>
            </w:r>
          </w:p>
        </w:tc>
        <w:tc>
          <w:tcPr/>
          <w:p>
            <w:pPr>
              <w:pStyle w:val="Compact"/>
            </w:pPr>
            <w:r>
              <w:t xml:space="preserve">recency</w:t>
            </w:r>
          </w:p>
        </w:tc>
        <w:tc>
          <w:tcPr/>
          <w:p>
            <w:pPr>
              <w:pStyle w:val="Compact"/>
            </w:pPr>
            <w:r>
              <w:t xml:space="preserve">Hill q2</w:t>
            </w:r>
          </w:p>
        </w:tc>
        <w:tc>
          <w:tcPr/>
          <w:p>
            <w:pPr>
              <w:pStyle w:val="Compact"/>
            </w:pPr>
            <w:r>
              <w:t xml:space="preserve">MODIS GPP</w:t>
            </w:r>
          </w:p>
        </w:tc>
        <w:tc>
          <w:tcPr/>
          <w:p>
            <w:pPr>
              <w:pStyle w:val="Compact"/>
            </w:pPr>
            <w:r>
              <w:t xml:space="preserve">−0.143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 use</w:t>
            </w:r>
          </w:p>
        </w:tc>
        <w:tc>
          <w:tcPr/>
          <w:p>
            <w:pPr>
              <w:pStyle w:val="Compact"/>
            </w:pPr>
            <w:r>
              <w:t xml:space="preserve">forest fraction</w:t>
            </w:r>
          </w:p>
        </w:tc>
        <w:tc>
          <w:tcPr/>
          <w:p>
            <w:pPr>
              <w:pStyle w:val="Compact"/>
            </w:pPr>
            <w:r>
              <w:t xml:space="preserve">turnover</w:t>
            </w:r>
          </w:p>
        </w:tc>
        <w:tc>
          <w:tcPr/>
          <w:p>
            <w:pPr>
              <w:pStyle w:val="Compact"/>
            </w:pPr>
            <w:r>
              <w:t xml:space="preserve">EVI</w:t>
            </w:r>
          </w:p>
        </w:tc>
        <w:tc>
          <w:tcPr/>
          <w:p>
            <w:pPr>
              <w:pStyle w:val="Compact"/>
            </w:pPr>
            <w:r>
              <w:t xml:space="preserve">−0.056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 use</w:t>
            </w:r>
          </w:p>
        </w:tc>
        <w:tc>
          <w:tcPr/>
          <w:p>
            <w:pPr>
              <w:pStyle w:val="Compact"/>
            </w:pPr>
            <w:r>
              <w:t xml:space="preserve">edge density</w:t>
            </w:r>
          </w:p>
        </w:tc>
        <w:tc>
          <w:tcPr/>
          <w:p>
            <w:pPr>
              <w:pStyle w:val="Compact"/>
            </w:pPr>
            <w:r>
              <w:t xml:space="preserve">turnover</w:t>
            </w:r>
          </w:p>
        </w:tc>
        <w:tc>
          <w:tcPr/>
          <w:p>
            <w:pPr>
              <w:pStyle w:val="Compact"/>
            </w:pPr>
            <w:r>
              <w:t xml:space="preserve">EVI</w:t>
            </w:r>
          </w:p>
        </w:tc>
        <w:tc>
          <w:tcPr/>
          <w:p>
            <w:pPr>
              <w:pStyle w:val="Compact"/>
            </w:pPr>
            <w:r>
              <w:t xml:space="preserve">+0.060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 use</w:t>
            </w:r>
          </w:p>
        </w:tc>
        <w:tc>
          <w:tcPr/>
          <w:p>
            <w:pPr>
              <w:pStyle w:val="Compact"/>
            </w:pPr>
            <w:r>
              <w:t xml:space="preserve">land-cover diversity</w:t>
            </w:r>
          </w:p>
        </w:tc>
        <w:tc>
          <w:tcPr/>
          <w:p>
            <w:pPr>
              <w:pStyle w:val="Compact"/>
            </w:pPr>
            <w:r>
              <w:t xml:space="preserve">turnover</w:t>
            </w:r>
          </w:p>
        </w:tc>
        <w:tc>
          <w:tcPr/>
          <w:p>
            <w:pPr>
              <w:pStyle w:val="Compact"/>
            </w:pPr>
            <w:r>
              <w:t xml:space="preserve">EVI</w:t>
            </w:r>
          </w:p>
        </w:tc>
        <w:tc>
          <w:tcPr/>
          <w:p>
            <w:pPr>
              <w:pStyle w:val="Compact"/>
            </w:pPr>
            <w:r>
              <w:t xml:space="preserve">+0.049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</w:tr>
    </w:tbl>
    <w:p>
      <w:pPr>
        <w:pStyle w:val="BodyText"/>
      </w:pPr>
      <w:r>
        <w:t xml:space="preserve">Interpretation: the structure–diversity coupling weakens with disturbance severity, and the productivity–diversity coupling weakens with disturbance recency (both negative). The three surviving land-use terms all involve the spectral index and compositional turnover, and are reported as exploratory. No stand-age interaction survives correction (the GPP × stand-age term has q = 0.26), so the age moderation is reported as suggestive only.</w:t>
      </w:r>
    </w:p>
    <w:bookmarkEnd w:id="16"/>
    <w:bookmarkStart w:id="17" w:name="X071c57b9115636e10ffd7a54f4e179b41a23367"/>
    <w:p>
      <w:pPr>
        <w:pStyle w:val="Heading2"/>
      </w:pPr>
      <w:r>
        <w:t xml:space="preserve">Supplementary Table S7 — Plot-level productivity diagnostic: product-specificity and suppression</w:t>
      </w:r>
    </w:p>
    <w:p>
      <w:pPr>
        <w:pStyle w:val="FirstParagraph"/>
      </w:pPr>
      <w:r>
        <w:t xml:space="preserve">Why productivity is analysed at the site scale (Section 3.5). Turnover response, plot level, domain fixed effects + site-clustered SE, all predictors and the response standardized (single consistent scale). n = 579; r(MODIS, PML) = 0.87. Source:</w:t>
      </w:r>
      <w:r>
        <w:t xml:space="preserve"> </w:t>
      </w:r>
      <w:r>
        <w:rPr>
          <w:rStyle w:val="VerbatimChar"/>
        </w:rPr>
        <w:t xml:space="preserve">gpp_suppression_26.csv</w:t>
      </w:r>
      <w:r>
        <w:t xml:space="preserve"> </w:t>
      </w:r>
      <w:r>
        <w:t xml:space="preserve">(script</w:t>
      </w:r>
      <w:r>
        <w:t xml:space="preserve"> </w:t>
      </w:r>
      <w:r>
        <w:rPr>
          <w:rStyle w:val="VerbatimChar"/>
        </w:rPr>
        <w:t xml:space="preserve">recompute_suppression_26.py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β (fully standardized)</w:t>
            </w:r>
          </w:p>
        </w:tc>
        <w:tc>
          <w:tcPr/>
          <w:p>
            <w:pPr>
              <w:pStyle w:val="Compact"/>
            </w:pPr>
            <w:r>
              <w:t xml:space="preserve">p (clustered)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MODIS only</w:t>
            </w:r>
          </w:p>
        </w:tc>
        <w:tc>
          <w:tcPr/>
          <w:p>
            <w:pPr>
              <w:pStyle w:val="Compact"/>
            </w:pPr>
            <w:r>
              <w:t xml:space="preserve">MODIS GPP</w:t>
            </w:r>
          </w:p>
        </w:tc>
        <w:tc>
          <w:tcPr/>
          <w:p>
            <w:pPr>
              <w:pStyle w:val="Compact"/>
            </w:pPr>
            <w:r>
              <w:t xml:space="preserve">−0.030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PML only</w:t>
            </w:r>
          </w:p>
        </w:tc>
        <w:tc>
          <w:tcPr/>
          <w:p>
            <w:pPr>
              <w:pStyle w:val="Compact"/>
            </w:pPr>
            <w:r>
              <w:t xml:space="preserve">PML GPP</w:t>
            </w:r>
          </w:p>
        </w:tc>
        <w:tc>
          <w:tcPr/>
          <w:p>
            <w:pPr>
              <w:pStyle w:val="Compact"/>
            </w:pPr>
            <w:r>
              <w:t xml:space="preserve">+0.273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MODIS GPP</w:t>
            </w:r>
          </w:p>
        </w:tc>
        <w:tc>
          <w:tcPr/>
          <w:p>
            <w:pPr>
              <w:pStyle w:val="Compact"/>
            </w:pPr>
            <w:r>
              <w:t xml:space="preserve">−0.233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PML GPP</w:t>
            </w:r>
          </w:p>
        </w:tc>
        <w:tc>
          <w:tcPr/>
          <w:p>
            <w:pPr>
              <w:pStyle w:val="Compact"/>
            </w:pPr>
            <w:r>
              <w:t xml:space="preserve">+0.367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</w:tr>
    </w:tbl>
    <w:p>
      <w:pPr>
        <w:pStyle w:val="BodyText"/>
      </w:pPr>
      <w:r>
        <w:t xml:space="preserve">Neither product is associated with turnover on its own; entered jointly they take opposing signs with inflated magnitudes — a suppression signature between two highly correlated products. We therefore decline any directional plot-level reading and analyse productivity at the site scale.</w:t>
      </w:r>
    </w:p>
    <w:p>
      <w:pPr>
        <w:pStyle w:val="BodyText"/>
      </w:pPr>
      <w:r>
        <w:t xml:space="preserve">Simple slopes (</w:t>
      </w:r>
      <w:r>
        <w:rPr>
          <w:rStyle w:val="VerbatimChar"/>
        </w:rPr>
        <w:t xml:space="preserve">simple_slopes.csv</w:t>
      </w:r>
      <w:r>
        <w:t xml:space="preserve">), Hill q1, at −1 SD / mean / +1 SD of the moderator:</w:t>
      </w:r>
      <w:r>
        <w:t xml:space="preserve"> </w:t>
      </w:r>
      <w:r>
        <w:t xml:space="preserve">- MODIS GPP × stand age: +0.17 (p = 0.135), +0.27 (p = 0.014), +0.38 (p = 0.007) — the interaction itself does not survive FDR (q = 0.26).</w:t>
      </w:r>
      <w:r>
        <w:t xml:space="preserve"> </w:t>
      </w:r>
      <w:r>
        <w:t xml:space="preserve">- VCI × disturbance severity: +0.39, +0.30, +0.21 (all p &lt; 0.001).</w:t>
      </w:r>
    </w:p>
    <w:bookmarkEnd w:id="17"/>
    <w:bookmarkStart w:id="18" w:name="X464a16933a58e86bb0840fb48a7b4f42161e15e"/>
    <w:p>
      <w:pPr>
        <w:pStyle w:val="Heading2"/>
      </w:pPr>
      <w:r>
        <w:t xml:space="preserve">Supplementary Methods S8 — Four-method triangulation of the plot-level framework (statistical robustness)</w:t>
      </w:r>
    </w:p>
    <w:p>
      <w:pPr>
        <w:pStyle w:val="FirstParagraph"/>
      </w:pPr>
      <w:r>
        <w:t xml:space="preserve">The plot-level conclusions (§3.1–§3.3) rest on domain fixed effects with site-clustered SEs and joint block tests by restricted wild cluster bootstrap. Because inference is anchored on only 26 site clusters (~12 domains) — a regime where joint block-increment tests are known to be conservative — we re-derived the core conclusions with three additional, methodologically independent approaches. All four agree on the two headline results (</w:t>
      </w:r>
      <w:r>
        <w:rPr>
          <w:b/>
          <w:bCs/>
        </w:rPr>
        <w:t xml:space="preserve">structure → alpha</w:t>
      </w:r>
      <w:r>
        <w:t xml:space="preserve">;</w:t>
      </w:r>
      <w:r>
        <w:t xml:space="preserve"> </w:t>
      </w:r>
      <w:r>
        <w:rPr>
          <w:b/>
          <w:bCs/>
        </w:rPr>
        <w:t xml:space="preserve">dynamics → nestedness</w:t>
      </w:r>
      <w:r>
        <w:t xml:space="preserve">), and the Bayesian coefficient-level analysis recovers the dynamics → nestedness signal that the conservative joint block test misses.</w:t>
      </w:r>
    </w:p>
    <w:p>
      <w:pPr>
        <w:pStyle w:val="BodyText"/>
      </w:pPr>
      <w:r>
        <w:rPr>
          <w:b/>
          <w:bCs/>
        </w:rPr>
        <w:t xml:space="preserve">Method 1 — Bayesian multilevel (partial pooling).</w:t>
      </w:r>
      <w:r>
        <w:t xml:space="preserve"> </w:t>
      </w:r>
      <w:r>
        <w:t xml:space="preserve">bambi/PyMC, crossed random intercepts for domain and site-within-domain, non-centred parameterization, HalfNormal(0.5/0.3) priors on the group scales; 4 chains × (3,000 tune + 2,000 draws), target_accept = 0.99. Fully converged (0 divergent transitions; R̂ ≤ 1.002). The near-singular site variance (Table S4, site RE variance ≈ 0) is the source of the funnel geometry that the priors + high target_accept resolve. Coefficient credible when its 95% HDI excludes zero. Models were fitted for all four responses; the table below shows the two headline responses (Hill q2 mirrors q1 — LAI +0.40, VCI +0.26, EVI +0.26 credible; turnover shows only two small credible dynamics trends, LAI trend and height-ratio trend, both β ≈ +0.09), full posteriors in</w:t>
      </w:r>
      <w:r>
        <w:t xml:space="preserve"> </w:t>
      </w:r>
      <w:r>
        <w:rPr>
          <w:rStyle w:val="VerbatimChar"/>
        </w:rPr>
        <w:t xml:space="preserve">bayes_multilevel_coeffs.csv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β (std)</w:t>
            </w:r>
          </w:p>
        </w:tc>
        <w:tc>
          <w:tcPr/>
          <w:p>
            <w:pPr>
              <w:pStyle w:val="Compact"/>
            </w:pPr>
            <w:r>
              <w:t xml:space="preserve">95% HDI</w:t>
            </w:r>
          </w:p>
        </w:tc>
        <w:tc>
          <w:tcPr/>
          <w:p>
            <w:pPr>
              <w:pStyle w:val="Compact"/>
            </w:pPr>
            <w:r>
              <w:t xml:space="preserve">pd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q1 (alpha)</w:t>
            </w:r>
          </w:p>
        </w:tc>
        <w:tc>
          <w:tcPr/>
          <w:p>
            <w:pPr>
              <w:pStyle w:val="Compact"/>
            </w:pPr>
            <w:r>
              <w:t xml:space="preserve">LAI_mean (struct)</w:t>
            </w:r>
          </w:p>
        </w:tc>
        <w:tc>
          <w:tcPr/>
          <w:p>
            <w:pPr>
              <w:pStyle w:val="Compact"/>
            </w:pPr>
            <w:r>
              <w:t xml:space="preserve">+0.404</w:t>
            </w:r>
          </w:p>
        </w:tc>
        <w:tc>
          <w:tcPr/>
          <w:p>
            <w:pPr>
              <w:pStyle w:val="Compact"/>
            </w:pPr>
            <w:r>
              <w:t xml:space="preserve">[+0.266, +0.539]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q1</w:t>
            </w:r>
          </w:p>
        </w:tc>
        <w:tc>
          <w:tcPr/>
          <w:p>
            <w:pPr>
              <w:pStyle w:val="Compact"/>
            </w:pPr>
            <w:r>
              <w:t xml:space="preserve">VCI_mean (struct)</w:t>
            </w:r>
          </w:p>
        </w:tc>
        <w:tc>
          <w:tcPr/>
          <w:p>
            <w:pPr>
              <w:pStyle w:val="Compact"/>
            </w:pPr>
            <w:r>
              <w:t xml:space="preserve">+0.274</w:t>
            </w:r>
          </w:p>
        </w:tc>
        <w:tc>
          <w:tcPr/>
          <w:p>
            <w:pPr>
              <w:pStyle w:val="Compact"/>
            </w:pPr>
            <w:r>
              <w:t xml:space="preserve">[+0.205, +0.345]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q1</w:t>
            </w:r>
          </w:p>
        </w:tc>
        <w:tc>
          <w:tcPr/>
          <w:p>
            <w:pPr>
              <w:pStyle w:val="Compact"/>
            </w:pPr>
            <w:r>
              <w:t xml:space="preserve">EVI_mean (spectral)</w:t>
            </w:r>
          </w:p>
        </w:tc>
        <w:tc>
          <w:tcPr/>
          <w:p>
            <w:pPr>
              <w:pStyle w:val="Compact"/>
            </w:pPr>
            <w:r>
              <w:t xml:space="preserve">+0.237</w:t>
            </w:r>
          </w:p>
        </w:tc>
        <w:tc>
          <w:tcPr/>
          <w:p>
            <w:pPr>
              <w:pStyle w:val="Compact"/>
            </w:pPr>
            <w:r>
              <w:t xml:space="preserve">[+0.132, +0.343]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q1</w:t>
            </w:r>
          </w:p>
        </w:tc>
        <w:tc>
          <w:tcPr/>
          <w:p>
            <w:pPr>
              <w:pStyle w:val="Compact"/>
            </w:pPr>
            <w:r>
              <w:t xml:space="preserve">Rugosity_mean (struct)</w:t>
            </w:r>
          </w:p>
        </w:tc>
        <w:tc>
          <w:tcPr/>
          <w:p>
            <w:pPr>
              <w:pStyle w:val="Compact"/>
            </w:pPr>
            <w:r>
              <w:t xml:space="preserve">−0.098</w:t>
            </w:r>
          </w:p>
        </w:tc>
        <w:tc>
          <w:tcPr/>
          <w:p>
            <w:pPr>
              <w:pStyle w:val="Compact"/>
            </w:pPr>
            <w:r>
              <w:t xml:space="preserve">[−0.172, −0.024]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q1</w:t>
            </w:r>
          </w:p>
        </w:tc>
        <w:tc>
          <w:tcPr/>
          <w:p>
            <w:pPr>
              <w:pStyle w:val="Compact"/>
            </w:pPr>
            <w:r>
              <w:t xml:space="preserve">Rumple_trend (dyn)</w:t>
            </w:r>
          </w:p>
        </w:tc>
        <w:tc>
          <w:tcPr/>
          <w:p>
            <w:pPr>
              <w:pStyle w:val="Compact"/>
            </w:pPr>
            <w:r>
              <w:t xml:space="preserve">+0.091</w:t>
            </w:r>
          </w:p>
        </w:tc>
        <w:tc>
          <w:tcPr/>
          <w:p>
            <w:pPr>
              <w:pStyle w:val="Compact"/>
            </w:pPr>
            <w:r>
              <w:t xml:space="preserve">[+0.016, +0.167]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q1</w:t>
            </w:r>
          </w:p>
        </w:tc>
        <w:tc>
          <w:tcPr/>
          <w:p>
            <w:pPr>
              <w:pStyle w:val="Compact"/>
            </w:pPr>
            <w:r>
              <w:t xml:space="preserve">Ht_Ratio_trend (dyn)</w:t>
            </w:r>
          </w:p>
        </w:tc>
        <w:tc>
          <w:tcPr/>
          <w:p>
            <w:pPr>
              <w:pStyle w:val="Compact"/>
            </w:pPr>
            <w:r>
              <w:t xml:space="preserve">+0.114</w:t>
            </w:r>
          </w:p>
        </w:tc>
        <w:tc>
          <w:tcPr/>
          <w:p>
            <w:pPr>
              <w:pStyle w:val="Compact"/>
            </w:pPr>
            <w:r>
              <w:t xml:space="preserve">[+0.036, +0.192]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Ht_Ratio_trend (dyn)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−0.307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[−0.419, −0.198]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Vert_CV_trend (dyn)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[+0.081, +0.320]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LAI_trend (dyn)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[−0.308, −0.071]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Nestedness</w:t>
            </w:r>
          </w:p>
        </w:tc>
        <w:tc>
          <w:tcPr/>
          <w:p>
            <w:pPr>
              <w:pStyle w:val="Compact"/>
            </w:pPr>
            <w:r>
              <w:t xml:space="preserve">Rugosity_mean (struct)</w:t>
            </w:r>
          </w:p>
        </w:tc>
        <w:tc>
          <w:tcPr/>
          <w:p>
            <w:pPr>
              <w:pStyle w:val="Compact"/>
            </w:pPr>
            <w:r>
              <w:t xml:space="preserve">+0.137</w:t>
            </w:r>
          </w:p>
        </w:tc>
        <w:tc>
          <w:tcPr/>
          <w:p>
            <w:pPr>
              <w:pStyle w:val="Compact"/>
            </w:pPr>
            <w:r>
              <w:t xml:space="preserve">[+0.035, +0.240]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Nestedness</w:t>
            </w:r>
          </w:p>
        </w:tc>
        <w:tc>
          <w:tcPr/>
          <w:p>
            <w:pPr>
              <w:pStyle w:val="Compact"/>
            </w:pPr>
            <w:r>
              <w:t xml:space="preserve">Vert_CV_mean (struct)</w:t>
            </w:r>
          </w:p>
        </w:tc>
        <w:tc>
          <w:tcPr/>
          <w:p>
            <w:pPr>
              <w:pStyle w:val="Compact"/>
            </w:pPr>
            <w:r>
              <w:t xml:space="preserve">−0.121</w:t>
            </w:r>
          </w:p>
        </w:tc>
        <w:tc>
          <w:tcPr/>
          <w:p>
            <w:pPr>
              <w:pStyle w:val="Compact"/>
            </w:pPr>
            <w:r>
              <w:t xml:space="preserve">[−0.237, −0.004]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</w:tr>
    </w:tbl>
    <w:p>
      <w:pPr>
        <w:pStyle w:val="BodyText"/>
      </w:pPr>
      <w:r>
        <w:t xml:space="preserve">Structure dominates alpha (3/4 structural terms credible);</w:t>
      </w:r>
      <w:r>
        <w:t xml:space="preserve"> </w:t>
      </w:r>
      <w:r>
        <w:rPr>
          <w:b/>
          <w:bCs/>
        </w:rPr>
        <w:t xml:space="preserve">dynamics dominate nestedness (3/7 dynamics trends credible, more than any other block for this component)</w:t>
      </w:r>
      <w:r>
        <w:t xml:space="preserve"> </w:t>
      </w:r>
      <w:r>
        <w:t xml:space="preserve">even though the joint dynamics block-increment did not clear the wild bootstrap (p = 0.14, Table S1b) — i.e. the block test is conservative, not the effect absent. Full posterior tables:</w:t>
      </w:r>
      <w:r>
        <w:t xml:space="preserve"> </w:t>
      </w:r>
      <w:r>
        <w:rPr>
          <w:rStyle w:val="VerbatimChar"/>
        </w:rPr>
        <w:t xml:space="preserve">results/O0_framework/bayes_multilevel_coeffs.csv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_meta.csv</w:t>
      </w:r>
      <w:r>
        <w:t xml:space="preserve">).</w:t>
      </w:r>
    </w:p>
    <w:p>
      <w:pPr>
        <w:pStyle w:val="BodyText"/>
      </w:pPr>
      <w:r>
        <w:rPr>
          <w:i/>
          <w:iCs/>
        </w:rPr>
        <w:t xml:space="preserve">Prior sensitivity.</w:t>
      </w:r>
      <w:r>
        <w:t xml:space="preserve"> </w:t>
      </w:r>
      <w:r>
        <w:t xml:space="preserve">Because the coefficient-level inference is the primary support for the dynamics → nestedness result, we repeated the Hill q1 and nestedness models with the group-scale priors doubled (domain σ ~ HalfNormal(1.0), site σ ~ HalfNormal(0.6)). The credible set was identical for all 24 coefficients (12 predictors × 2 responses), the maximum change in any posterior mean was 0.007, the three nestedness dynamics trends were essentially unchanged (height-ratio −0.306 vs −0.31; vertical-CV +0.199 vs +0.20; leaf-area −0.191 vs −0.19), and both models again sampled with 0 divergent transitions (</w:t>
      </w:r>
      <w:r>
        <w:rPr>
          <w:rStyle w:val="VerbatimChar"/>
        </w:rPr>
        <w:t xml:space="preserve">bayes_prior_sensitivity.csv</w:t>
      </w:r>
      <w:r>
        <w:t xml:space="preserve">). The headline result is therefore not prior-driven.</w:t>
      </w:r>
    </w:p>
    <w:p>
      <w:pPr>
        <w:pStyle w:val="BodyText"/>
      </w:pPr>
      <w:r>
        <w:rPr>
          <w:b/>
          <w:bCs/>
        </w:rPr>
        <w:t xml:space="preserve">Method 2 — Formal variation partitioning (vegan-varpart style).</w:t>
      </w:r>
      <w:r>
        <w:t xml:space="preserve"> </w:t>
      </w:r>
      <w:r>
        <w:t xml:space="preserve">Domain-conditional partition of the remote-sensing R² into unique structure/spectral/dynamics blocks via set-complement R² differences, cross-checking the manual semi-partial R² of §3.1. The two recipes agree to three decimals: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unique struct</w:t>
            </w:r>
          </w:p>
        </w:tc>
        <w:tc>
          <w:tcPr/>
          <w:p>
            <w:pPr>
              <w:pStyle w:val="Compact"/>
            </w:pPr>
            <w:r>
              <w:t xml:space="preserve">unique spectral</w:t>
            </w:r>
          </w:p>
        </w:tc>
        <w:tc>
          <w:tcPr/>
          <w:p>
            <w:pPr>
              <w:pStyle w:val="Compact"/>
            </w:pPr>
            <w:r>
              <w:t xml:space="preserve">unique dyn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q1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 q2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Turnover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Nestedness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</w:tr>
    </w:tbl>
    <w:p>
      <w:pPr>
        <w:pStyle w:val="BodyText"/>
      </w:pPr>
      <w:r>
        <w:t xml:space="preserve">Structure is the largest unique alpha block; dynamics the largest unique nestedness block — identical to the main analysis. Output:</w:t>
      </w:r>
      <w:r>
        <w:t xml:space="preserve"> </w:t>
      </w:r>
      <w:r>
        <w:rPr>
          <w:rStyle w:val="VerbatimChar"/>
        </w:rPr>
        <w:t xml:space="preserve">results/O0_framework/varpart_robust.csv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Method 3 — GDM-family saturation model (beta, §3.1b).</w:t>
      </w:r>
      <w:r>
        <w:t xml:space="preserve"> </w:t>
      </w:r>
      <w:r>
        <w:t xml:space="preserve">Monotone-spline generalized dissimilarity model of Bray–Curtis composition on structural + spectral distance, within-site permutation (999). Deviance explained = 0.122 (p = 0.002); structure and spectral contribute non-redundantly (structure 45% : spectral 55% of fitted transform SD), confirming that remote-sensing heterogeneity tracks compositional turnover once analysed as dissimilarity rather than predictor levels.</w:t>
      </w:r>
    </w:p>
    <w:p>
      <w:pPr>
        <w:pStyle w:val="BodyText"/>
      </w:pPr>
      <w:r>
        <w:rPr>
          <w:b/>
          <w:bCs/>
        </w:rPr>
        <w:t xml:space="preserve">Method 4 — Restricted-permutation Mantel (beta, §3.1b).</w:t>
      </w:r>
      <w:r>
        <w:t xml:space="preserve"> </w:t>
      </w:r>
      <w:r>
        <w:t xml:space="preserve">Within-site (plots permuted only within sites; biogeography held fixed), 999 permutations, 23 sites. Structural distance vs Bray–Curtis: Mantel r = +0.264 (Pearson) / +0.32 (Spearman); spectral distance r = +0.293 / +0.30; both p = 0.001. Rank-based estimates are reported in the main text as robust to the Bray–Curtis = 1 ceiling.</w:t>
      </w:r>
    </w:p>
    <w:p>
      <w:pPr>
        <w:pStyle w:val="BodyText"/>
      </w:pPr>
      <w:r>
        <w:rPr>
          <w:b/>
          <w:bCs/>
        </w:rPr>
        <w:t xml:space="preserve">Bottom line.</w:t>
      </w:r>
      <w:r>
        <w:t xml:space="preserve"> </w:t>
      </w:r>
      <w:r>
        <w:t xml:space="preserve">The framework conclusions are not artifacts of one inferential recipe: structure→alpha and dynamics→nestedness hold under partial-pooling Bayesian estimation and formal variation partitioning, and the beta/heterogeneity signal holds under both a saturation (GDM) model and restricted-permutation Mantel tests. The only substantive change relative to the conservative wild-bootstrap joint test is that the Bayesian coefficient-level analysis elevates dynamics→nestedness from</w:t>
      </w:r>
      <w:r>
        <w:t xml:space="preserve"> </w:t>
      </w:r>
      <w:r>
        <w:t xml:space="preserve">“descriptive”</w:t>
      </w:r>
      <w:r>
        <w:t xml:space="preserve"> </w:t>
      </w:r>
      <w:r>
        <w:t xml:space="preserve">to</w:t>
      </w:r>
      <w:r>
        <w:t xml:space="preserve"> </w:t>
      </w:r>
      <w:r>
        <w:t xml:space="preserve">“credibly supported”</w:t>
      </w:r>
      <w:r>
        <w:t xml:space="preserve"> </w:t>
      </w:r>
      <w:r>
        <w:t xml:space="preserve">(adopted in §3.1, §3.3, §4.2).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2026-08-17T23:15:36Z</dcterms:created>
  <dcterms:modified xsi:type="dcterms:W3CDTF">2026-08-17T23:15:36Z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