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软件工程知识点总结</w:t>
      </w:r>
    </w:p>
    <w:p>
      <w:pPr>
        <w:jc w:val="center"/>
      </w:pPr>
      <w:r>
        <w:t>软考中级 - 必考重点</w:t>
      </w:r>
    </w:p>
    <w:p>
      <w:pPr>
        <w:pStyle w:val="Heading1"/>
      </w:pPr>
      <w:r>
        <w:t>第一章：软件工程概述</w:t>
      </w:r>
    </w:p>
    <w:p>
      <w:pPr>
        <w:pStyle w:val="ListBullet"/>
      </w:pPr>
      <w:r>
        <w:t>软件开发进度难以控制</w:t>
      </w:r>
    </w:p>
    <w:p>
      <w:pPr>
        <w:pStyle w:val="ListBullet"/>
      </w:pPr>
      <w:r>
        <w:t>软件开发成本严重超标</w:t>
      </w:r>
    </w:p>
    <w:p>
      <w:pPr>
        <w:pStyle w:val="ListBullet"/>
      </w:pPr>
      <w:r>
        <w:t>软件质量难以保证</w:t>
      </w:r>
    </w:p>
    <w:p>
      <w:pPr>
        <w:pStyle w:val="ListBullet"/>
      </w:pPr>
      <w:r>
        <w:t>软件维护困难</w:t>
      </w:r>
    </w:p>
    <w:p>
      <w:r>
        <w:t>软件工程三要素：方法、工具、过程</w:t>
      </w:r>
    </w:p>
    <w:p>
      <w:pPr>
        <w:pStyle w:val="Heading1"/>
      </w:pPr>
      <w:r>
        <w:t>第二章：需求分析</w:t>
      </w:r>
    </w:p>
    <w:p>
      <w:pPr>
        <w:pStyle w:val="ListBullet"/>
      </w:pPr>
      <w:r>
        <w:t>外部实体（矩形）：系统外部的数据来源或去向</w:t>
      </w:r>
    </w:p>
    <w:p>
      <w:pPr>
        <w:pStyle w:val="ListBullet"/>
      </w:pPr>
      <w:r>
        <w:t>加工（圆角矩形）：对数据的处理操作</w:t>
      </w:r>
    </w:p>
    <w:p>
      <w:pPr>
        <w:pStyle w:val="ListBullet"/>
      </w:pPr>
      <w:r>
        <w:t>数据存储（双横线）：数据的存储位置</w:t>
      </w:r>
    </w:p>
    <w:p>
      <w:pPr>
        <w:pStyle w:val="ListBullet"/>
      </w:pPr>
      <w:r>
        <w:t>数据流（箭头）：数据的流动方向</w:t>
      </w:r>
    </w:p>
    <w:p>
      <w:pPr>
        <w:pStyle w:val="Heading1"/>
      </w:pPr>
      <w:r>
        <w:t>第三章：模块化设计</w:t>
      </w:r>
    </w:p>
    <w:p>
      <w:r>
        <w:t>内聚：功能内聚 &gt; 顺序内聚 &gt; 通信内聚 &gt; 过程内聚 &gt; 时间内聚 &gt; 逻辑内聚 &gt; 偶然内聚</w:t>
      </w:r>
    </w:p>
    <w:p>
      <w:r>
        <w:t>耦合：数据耦合 &lt; 标记耦合 &lt; 控制耦合 &lt; 外部耦合 &lt; 公共耦合 &lt; 内容耦合</w:t>
      </w:r>
    </w:p>
    <w:p>
      <w:r>
        <w:rPr>
          <w:b/>
        </w:rPr>
        <w:t>核心原则：追求高内聚、低耦合</w:t>
      </w:r>
    </w:p>
    <w:p>
      <w:pPr>
        <w:pStyle w:val="Heading1"/>
      </w:pPr>
      <w:r>
        <w:t>第四章：23种设计模式</w:t>
      </w:r>
    </w:p>
    <w:p>
      <w:pPr>
        <w:pStyle w:val="Heading2"/>
      </w:pPr>
      <w:r>
        <w:t>创建型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意图</w:t>
            </w:r>
          </w:p>
        </w:tc>
        <w:tc>
          <w:tcPr>
            <w:tcW w:type="dxa" w:w="2880"/>
          </w:tcPr>
          <w:p>
            <w:r>
              <w:t>考试频率</w:t>
            </w:r>
          </w:p>
        </w:tc>
      </w:tr>
      <w:tr>
        <w:tc>
          <w:tcPr>
            <w:tcW w:type="dxa" w:w="2880"/>
          </w:tcPr>
          <w:p>
            <w:r>
              <w:t>单例模式</w:t>
            </w:r>
          </w:p>
        </w:tc>
        <w:tc>
          <w:tcPr>
            <w:tcW w:type="dxa" w:w="2880"/>
          </w:tcPr>
          <w:p>
            <w:r>
              <w:t>确保一个类只有一个实例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工厂方法</w:t>
            </w:r>
          </w:p>
        </w:tc>
        <w:tc>
          <w:tcPr>
            <w:tcW w:type="dxa" w:w="2880"/>
          </w:tcPr>
          <w:p>
            <w:r>
              <w:t>定义创建对象的接口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抽象工厂</w:t>
            </w:r>
          </w:p>
        </w:tc>
        <w:tc>
          <w:tcPr>
            <w:tcW w:type="dxa" w:w="2880"/>
          </w:tcPr>
          <w:p>
            <w:r>
              <w:t>创建一系列相关对象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建造者模式</w:t>
            </w:r>
          </w:p>
        </w:tc>
        <w:tc>
          <w:tcPr>
            <w:tcW w:type="dxa" w:w="2880"/>
          </w:tcPr>
          <w:p>
            <w:r>
              <w:t>分步构建复杂对象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原型模式</w:t>
            </w:r>
          </w:p>
        </w:tc>
        <w:tc>
          <w:tcPr>
            <w:tcW w:type="dxa" w:w="2880"/>
          </w:tcPr>
          <w:p>
            <w:r>
              <w:t>通过复制创建新对象</w:t>
            </w:r>
          </w:p>
        </w:tc>
        <w:tc>
          <w:tcPr>
            <w:tcW w:type="dxa" w:w="2880"/>
          </w:tcPr>
          <w:p>
            <w:r>
              <w:t>★★</w:t>
            </w:r>
          </w:p>
        </w:tc>
      </w:tr>
    </w:tbl>
    <w:p>
      <w:pPr>
        <w:pStyle w:val="Heading2"/>
      </w:pPr>
      <w:r>
        <w:t>行为型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模式</w:t>
            </w:r>
          </w:p>
        </w:tc>
        <w:tc>
          <w:tcPr>
            <w:tcW w:type="dxa" w:w="2880"/>
          </w:tcPr>
          <w:p>
            <w:r>
              <w:t>意图</w:t>
            </w:r>
          </w:p>
        </w:tc>
        <w:tc>
          <w:tcPr>
            <w:tcW w:type="dxa" w:w="2880"/>
          </w:tcPr>
          <w:p>
            <w:r>
              <w:t>考试频率</w:t>
            </w:r>
          </w:p>
        </w:tc>
      </w:tr>
      <w:tr>
        <w:tc>
          <w:tcPr>
            <w:tcW w:type="dxa" w:w="2880"/>
          </w:tcPr>
          <w:p>
            <w:r>
              <w:t>观察者模式</w:t>
            </w:r>
          </w:p>
        </w:tc>
        <w:tc>
          <w:tcPr>
            <w:tcW w:type="dxa" w:w="2880"/>
          </w:tcPr>
          <w:p>
            <w:r>
              <w:t>一对多依赖自动通知</w:t>
            </w:r>
          </w:p>
        </w:tc>
        <w:tc>
          <w:tcPr>
            <w:tcW w:type="dxa" w:w="2880"/>
          </w:tcPr>
          <w:p>
            <w:r>
              <w:t>★★★★★</w:t>
            </w:r>
          </w:p>
        </w:tc>
      </w:tr>
      <w:tr>
        <w:tc>
          <w:tcPr>
            <w:tcW w:type="dxa" w:w="2880"/>
          </w:tcPr>
          <w:p>
            <w:r>
              <w:t>策略模式</w:t>
            </w:r>
          </w:p>
        </w:tc>
        <w:tc>
          <w:tcPr>
            <w:tcW w:type="dxa" w:w="2880"/>
          </w:tcPr>
          <w:p>
            <w:r>
              <w:t>定义算法族可互换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模板方法</w:t>
            </w:r>
          </w:p>
        </w:tc>
        <w:tc>
          <w:tcPr>
            <w:tcW w:type="dxa" w:w="2880"/>
          </w:tcPr>
          <w:p>
            <w:r>
              <w:t>定义算法骨架</w:t>
            </w:r>
          </w:p>
        </w:tc>
        <w:tc>
          <w:tcPr>
            <w:tcW w:type="dxa" w:w="2880"/>
          </w:tcPr>
          <w:p>
            <w:r>
              <w:t>★★★★</w:t>
            </w:r>
          </w:p>
        </w:tc>
      </w:tr>
      <w:tr>
        <w:tc>
          <w:tcPr>
            <w:tcW w:type="dxa" w:w="2880"/>
          </w:tcPr>
          <w:p>
            <w:r>
              <w:t>状态模式</w:t>
            </w:r>
          </w:p>
        </w:tc>
        <w:tc>
          <w:tcPr>
            <w:tcW w:type="dxa" w:w="2880"/>
          </w:tcPr>
          <w:p>
            <w:r>
              <w:t>对象行为随状态变化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  <w:tr>
        <w:tc>
          <w:tcPr>
            <w:tcW w:type="dxa" w:w="2880"/>
          </w:tcPr>
          <w:p>
            <w:r>
              <w:t>命令模式</w:t>
            </w:r>
          </w:p>
        </w:tc>
        <w:tc>
          <w:tcPr>
            <w:tcW w:type="dxa" w:w="2880"/>
          </w:tcPr>
          <w:p>
            <w:r>
              <w:t>将请求封装为对象</w:t>
            </w:r>
          </w:p>
        </w:tc>
        <w:tc>
          <w:tcPr>
            <w:tcW w:type="dxa" w:w="2880"/>
          </w:tcPr>
          <w:p>
            <w:r>
              <w:t>★★★</w:t>
            </w:r>
          </w:p>
        </w:tc>
      </w:tr>
    </w:tbl>
    <w:p>
      <w:pPr>
        <w:pStyle w:val="Heading1"/>
      </w:pPr>
      <w:r>
        <w:t>第五章：软件测试</w:t>
      </w:r>
    </w:p>
    <w:p>
      <w:r>
        <w:t>白盒覆盖：语句 &lt; 判定 &lt; 条件 &lt; 判定/条件 &lt; 条件组合 &lt; 路径</w:t>
      </w:r>
    </w:p>
    <w:p>
      <w:pPr>
        <w:pStyle w:val="ListBullet"/>
      </w:pPr>
      <w:r>
        <w:t>等价类划分法</w:t>
      </w:r>
    </w:p>
    <w:p>
      <w:pPr>
        <w:pStyle w:val="ListBullet"/>
      </w:pPr>
      <w:r>
        <w:t>边界值分析法</w:t>
      </w:r>
    </w:p>
    <w:p>
      <w:pPr>
        <w:pStyle w:val="ListBullet"/>
      </w:pPr>
      <w:r>
        <w:t>因果图法</w:t>
      </w:r>
    </w:p>
    <w:p>
      <w:pPr>
        <w:pStyle w:val="ListBullet"/>
      </w:pPr>
      <w:r>
        <w:t>错误推测法</w:t>
      </w:r>
    </w:p>
    <w:p>
      <w:pPr>
        <w:pStyle w:val="Heading1"/>
      </w:pPr>
      <w:r>
        <w:t>第六章：项目管理</w:t>
      </w:r>
    </w:p>
    <w:p>
      <w:r>
        <w:t>关键路径 = 耗时最长的路径，其松弛时间为0</w:t>
      </w:r>
    </w:p>
    <w:p>
      <w:pPr>
        <w:pStyle w:val="ListNumber"/>
      </w:pPr>
      <w:r>
        <w:t>1.初始级</w:t>
      </w:r>
    </w:p>
    <w:p>
      <w:pPr>
        <w:pStyle w:val="ListNumber"/>
      </w:pPr>
      <w:r>
        <w:t>2.已管理级</w:t>
      </w:r>
    </w:p>
    <w:p>
      <w:pPr>
        <w:pStyle w:val="ListNumber"/>
      </w:pPr>
      <w:r>
        <w:t>3.已定义级</w:t>
      </w:r>
    </w:p>
    <w:p>
      <w:pPr>
        <w:pStyle w:val="ListNumber"/>
      </w:pPr>
      <w:r>
        <w:t>4.量化管理级</w:t>
      </w:r>
    </w:p>
    <w:p>
      <w:pPr>
        <w:pStyle w:val="ListNumber"/>
      </w:pPr>
      <w:r>
        <w:t>5.优化级</w:t>
      </w:r>
    </w:p>
    <w:p>
      <w:r>
        <w:t>关联：详见《设计模式_策略模式.java》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