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C0B0" w14:textId="4FA000C9" w:rsidR="007F6966" w:rsidRDefault="00A24DA3">
      <w:r>
        <w:t xml:space="preserve">This program can be used to Browse </w:t>
      </w:r>
      <w:r w:rsidR="00AE6427">
        <w:t xml:space="preserve">any table that can be accessed </w:t>
      </w:r>
      <w:r>
        <w:t xml:space="preserve">using </w:t>
      </w:r>
      <w:r w:rsidR="00AE6427">
        <w:t>a “connection string”.</w:t>
      </w:r>
    </w:p>
    <w:p w14:paraId="3035D7D1" w14:textId="1BC8AD1C" w:rsidR="00A24DA3" w:rsidRDefault="00AE6427">
      <w:r>
        <w:rPr>
          <w:noProof/>
        </w:rPr>
        <w:drawing>
          <wp:inline distT="0" distB="0" distL="0" distR="0" wp14:anchorId="7CA5D3C6" wp14:editId="184707C8">
            <wp:extent cx="5943600" cy="3215640"/>
            <wp:effectExtent l="0" t="0" r="0" b="3810"/>
            <wp:docPr id="104839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3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B74" w14:textId="77777777" w:rsidR="00AE6427" w:rsidRDefault="00AE6427">
      <w:r>
        <w:t xml:space="preserve">Any table that can be accessed via a </w:t>
      </w:r>
      <w:r>
        <w:rPr>
          <w:i/>
          <w:iCs/>
        </w:rPr>
        <w:t xml:space="preserve">Connection String </w:t>
      </w:r>
      <w:r>
        <w:t xml:space="preserve">can be opened. </w:t>
      </w:r>
    </w:p>
    <w:p w14:paraId="5B9C820A" w14:textId="3986BD55" w:rsidR="00AE6427" w:rsidRDefault="00AE6427">
      <w:r>
        <w:rPr>
          <w:noProof/>
        </w:rPr>
        <w:drawing>
          <wp:inline distT="0" distB="0" distL="0" distR="0" wp14:anchorId="011A4903" wp14:editId="686FB77A">
            <wp:extent cx="3333750" cy="2390775"/>
            <wp:effectExtent l="0" t="0" r="0" b="9525"/>
            <wp:docPr id="15219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4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7A18" w14:textId="48E3861A" w:rsidR="00A24DA3" w:rsidRDefault="00A24DA3">
      <w:r>
        <w:t>Records can be presented ordered by any available index.</w:t>
      </w:r>
    </w:p>
    <w:p w14:paraId="368F1043" w14:textId="1387EBFB" w:rsidR="00A24DA3" w:rsidRDefault="00A24DA3">
      <w:r>
        <w:t>Records can be searched for a string appearing in any field. Additional records can be added and any records can be hidden (i.e., marked as deleted).</w:t>
      </w:r>
    </w:p>
    <w:p w14:paraId="3FB9271A" w14:textId="3079A96C" w:rsidR="00F62A3A" w:rsidRDefault="00F62A3A">
      <w:r>
        <w:t>Double-clicking on a “(M</w:t>
      </w:r>
      <w:r w:rsidR="00AE6427">
        <w:t>EMO</w:t>
      </w:r>
      <w:r>
        <w:t>)” field will open it in a separate window.</w:t>
      </w:r>
    </w:p>
    <w:p w14:paraId="3A8D73F9" w14:textId="48478CA4" w:rsidR="00AE6427" w:rsidRDefault="00AE6427">
      <w:r>
        <w:rPr>
          <w:noProof/>
        </w:rPr>
        <w:lastRenderedPageBreak/>
        <w:drawing>
          <wp:inline distT="0" distB="0" distL="0" distR="0" wp14:anchorId="7BEB52B4" wp14:editId="0DD0CF83">
            <wp:extent cx="4000500" cy="2714625"/>
            <wp:effectExtent l="0" t="0" r="0" b="9525"/>
            <wp:docPr id="139442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24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E"/>
    <w:rsid w:val="002E2C8D"/>
    <w:rsid w:val="004A153B"/>
    <w:rsid w:val="007F6966"/>
    <w:rsid w:val="008B560E"/>
    <w:rsid w:val="00A24DA3"/>
    <w:rsid w:val="00A7432A"/>
    <w:rsid w:val="00AE6427"/>
    <w:rsid w:val="00D35BEE"/>
    <w:rsid w:val="00F448C9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1496"/>
  <w15:chartTrackingRefBased/>
  <w15:docId w15:val="{D91217C8-2D32-4F36-9DBB-72D58106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cp:keywords/>
  <dc:description/>
  <cp:lastModifiedBy>Dan Dorrough</cp:lastModifiedBy>
  <cp:revision>4</cp:revision>
  <dcterms:created xsi:type="dcterms:W3CDTF">2023-10-17T17:43:00Z</dcterms:created>
  <dcterms:modified xsi:type="dcterms:W3CDTF">2023-10-17T18:44:00Z</dcterms:modified>
</cp:coreProperties>
</file>