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ASM / height^2, kg/m2 (beta coefficient -0.03 (95% CI -0.15 to 0.09), false discovery rate q 0.664)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-0.15 to 0.09)</w:t>
            </w:r>
          </w:p>
        </w:tc>
        <w:tc>
          <w:tcPr>
            <w:tcW w:type="dxa" w:w="1234"/>
          </w:tcPr>
          <w:p>
            <w:r>
              <w:t>0.620</w:t>
            </w:r>
          </w:p>
        </w:tc>
        <w:tc>
          <w:tcPr>
            <w:tcW w:type="dxa" w:w="1234"/>
          </w:tcPr>
          <w:p>
            <w:r>
              <w:t>0.664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