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ASM / height^2,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inversely associated with ASM / height^2, kg/m2 (beta coefficient per 1-SD -0.01 (95% CI -0.04 to 0.01), false discovery rate q 0.190) among 6576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-0.04 to 0.01)</w:t>
            </w:r>
          </w:p>
        </w:tc>
        <w:tc>
          <w:tcPr>
            <w:tcW w:type="dxa" w:w="1234"/>
          </w:tcPr>
          <w:p>
            <w:r>
              <w:t>0.156</w:t>
            </w:r>
          </w:p>
        </w:tc>
        <w:tc>
          <w:tcPr>
            <w:tcW w:type="dxa" w:w="1234"/>
          </w:tcPr>
          <w:p>
            <w:r>
              <w:t>0.190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22.5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