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inversely associated with ASM / height^2, kg/m2 (beta coefficient per 1-SD -0.00 (95% CI -0.02 to 0.02), false discovery rate q 0.910)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-0.02 to 0.02)</w:t>
            </w:r>
          </w:p>
        </w:tc>
        <w:tc>
          <w:tcPr>
            <w:tcW w:type="dxa" w:w="1234"/>
          </w:tcPr>
          <w:p>
            <w:r>
              <w:t>0.893</w:t>
            </w:r>
          </w:p>
        </w:tc>
        <w:tc>
          <w:tcPr>
            <w:tcW w:type="dxa" w:w="1234"/>
          </w:tcPr>
          <w:p>
            <w:r>
              <w:t>0.910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