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inversely associated with ASM / height^2, kg/m2 (beta coefficient -0.03 (95% CI -0.08 to 0.01), false discovery rate q 0.206)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-0.08 to 0.01)</w:t>
            </w:r>
          </w:p>
        </w:tc>
        <w:tc>
          <w:tcPr>
            <w:tcW w:type="dxa" w:w="1234"/>
          </w:tcPr>
          <w:p>
            <w:r>
              <w:t>0.170</w:t>
            </w:r>
          </w:p>
        </w:tc>
        <w:tc>
          <w:tcPr>
            <w:tcW w:type="dxa" w:w="1234"/>
          </w:tcPr>
          <w:p>
            <w:r>
              <w:t>0.206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18.2%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