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inversely associated with ASM / height^2, kg/m2 (beta coefficient per 1-SD -0.02 (95% CI -0.04 to 0.00), false discovery rate q 0.104)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-0.04 to 0.00)</w:t>
            </w:r>
          </w:p>
        </w:tc>
        <w:tc>
          <w:tcPr>
            <w:tcW w:type="dxa" w:w="1234"/>
          </w:tcPr>
          <w:p>
            <w:r>
              <w:t>0.082</w:t>
            </w:r>
          </w:p>
        </w:tc>
        <w:tc>
          <w:tcPr>
            <w:tcW w:type="dxa" w:w="1234"/>
          </w:tcPr>
          <w:p>
            <w:r>
              <w:t>0.104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77.0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