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ASM / height^2, kg/m2 (beta coefficient -0.06 (95% CI -0.13 to 0.01), false discovery rate q 0.105) among 6576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-0.13 to 0.01)</w:t>
            </w:r>
          </w:p>
        </w:tc>
        <w:tc>
          <w:tcPr>
            <w:tcW w:type="dxa" w:w="1234"/>
          </w:tcPr>
          <w:p>
            <w:r>
              <w:t>0.083</w:t>
            </w:r>
          </w:p>
        </w:tc>
        <w:tc>
          <w:tcPr>
            <w:tcW w:type="dxa" w:w="1234"/>
          </w:tcPr>
          <w:p>
            <w:r>
              <w:t>0.105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