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inversely associated with ASM / height^2, kg/m2 (beta coefficient -0.04 (95% CI -0.12 to 0.04), false discovery rate q 0.367) among 6576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-0.12 to 0.04)</w:t>
            </w:r>
          </w:p>
        </w:tc>
        <w:tc>
          <w:tcPr>
            <w:tcW w:type="dxa" w:w="1234"/>
          </w:tcPr>
          <w:p>
            <w:r>
              <w:t>0.318</w:t>
            </w:r>
          </w:p>
        </w:tc>
        <w:tc>
          <w:tcPr>
            <w:tcW w:type="dxa" w:w="1234"/>
          </w:tcPr>
          <w:p>
            <w:r>
              <w:t>0.367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