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inversely associated with ASM / height^2, kg/m2 (beta coefficient per 1-SD -0.01 (95% CI -0.03 to 0.01), false discovery rate q 0.448)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-0.03 to 0.01)</w:t>
            </w:r>
          </w:p>
        </w:tc>
        <w:tc>
          <w:tcPr>
            <w:tcW w:type="dxa" w:w="1234"/>
          </w:tcPr>
          <w:p>
            <w:r>
              <w:t>0.397</w:t>
            </w:r>
          </w:p>
        </w:tc>
        <w:tc>
          <w:tcPr>
            <w:tcW w:type="dxa" w:w="1234"/>
          </w:tcPr>
          <w:p>
            <w:r>
              <w:t>0.448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