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inversely associated with ASM / height^2, kg/m2 (beta coefficient -0.08 (95% CI -0.21 to 0.04), false discovery rate q 0.243)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-0.21 to 0.04)</w:t>
            </w:r>
          </w:p>
        </w:tc>
        <w:tc>
          <w:tcPr>
            <w:tcW w:type="dxa" w:w="1234"/>
          </w:tcPr>
          <w:p>
            <w:r>
              <w:t>0.204</w:t>
            </w:r>
          </w:p>
        </w:tc>
        <w:tc>
          <w:tcPr>
            <w:tcW w:type="dxa" w:w="1234"/>
          </w:tcPr>
          <w:p>
            <w:r>
              <w:t>0.243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