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ASM / height^2, kg/m2 (beta coefficient -0.02 (95% CI -0.08 to 0.04), false discovery rate q 0.626)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-0.08 to 0.04)</w:t>
            </w:r>
          </w:p>
        </w:tc>
        <w:tc>
          <w:tcPr>
            <w:tcW w:type="dxa" w:w="1234"/>
          </w:tcPr>
          <w:p>
            <w:r>
              <w:t>0.580</w:t>
            </w:r>
          </w:p>
        </w:tc>
        <w:tc>
          <w:tcPr>
            <w:tcW w:type="dxa" w:w="1234"/>
          </w:tcPr>
          <w:p>
            <w:r>
              <w:t>0.626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