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ASM / height^2, kg/m2 (beta coefficient per 1-SD -0.02 (95% CI -0.04 to 0.01), false discovery rate q 0.183)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0.01)</w:t>
            </w:r>
          </w:p>
        </w:tc>
        <w:tc>
          <w:tcPr>
            <w:tcW w:type="dxa" w:w="1234"/>
          </w:tcPr>
          <w:p>
            <w:r>
              <w:t>0.150</w:t>
            </w:r>
          </w:p>
        </w:tc>
        <w:tc>
          <w:tcPr>
            <w:tcW w:type="dxa" w:w="1234"/>
          </w:tcPr>
          <w:p>
            <w:r>
              <w:t>0.183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