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Abdominal obesity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positively associated with Abdominal obesity (odds ratio per 1-SD 1.48 (95% CI 1.44 to 1.53), false discovery rate q &lt;0.001) among 37240 adults aged 20 years or older (a weighted Abdominal obesity prevalence of 29.9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1.48 (95% CI 1.44 to 1.53)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Diastolic blood pressure, mmHg (exposure)</w:t>
            </w:r>
          </w:p>
        </w:tc>
        <w:tc>
          <w:tcPr>
            <w:tcW w:type="dxa" w:w="2160"/>
          </w:tcPr>
          <w:p>
            <w:r>
              <w:t>75.7</w:t>
            </w:r>
          </w:p>
        </w:tc>
        <w:tc>
          <w:tcPr>
            <w:tcW w:type="dxa" w:w="2160"/>
          </w:tcPr>
          <w:p>
            <w:r>
              <w:t>74.4</w:t>
            </w:r>
          </w:p>
        </w:tc>
        <w:tc>
          <w:tcPr>
            <w:tcW w:type="dxa" w:w="2160"/>
          </w:tcPr>
          <w:p>
            <w:r>
              <w:t>78.7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51.9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