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Abdominal obesity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positively associated with Abdominal obesity (odds ratio 2.66 (95% CI 2.50 to 2.82), false discovery rate q &lt;0.001) among 37240 adults aged 20 years or older (a weighted Abdominal obesity prevalence of 29.9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2.66 (95% CI 2.50 to 2.82)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Dyslipidemia (KSoLA composite) (exposure)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41.8%</w:t>
            </w:r>
          </w:p>
        </w:tc>
        <w:tc>
          <w:tcPr>
            <w:tcW w:type="dxa" w:w="2160"/>
          </w:tcPr>
          <w:p>
            <w:r>
              <w:t>67.8%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