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Abdominal obesity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Femoral neck BMD, g/cm2 was positively associated with Abdominal obesity (odds ratio per 1-SD 1.77 (95% CI 1.62 to 1.93), false discovery rate q &lt;0.001) among 37240 adults aged 20 years or older (a weighted Abdominal obesity prevalence of 29.9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1.77 (95% CI 1.62 to 1.93)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Femoral neck BMD, g/cm2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51.9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