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Hepatic steatosis index (HSI) and Abdominal obesity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Hepatic steatosis index (HSI) was positively associated with Abdominal obesity (odds ratio per 1-SD 8.65 (95% CI 8.13 to 9.19), false discovery rate q &lt;0.001) among 37240 adults aged 20 years or older (a weighted Abdominal obesity prevalence of 29.9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Hepatic steatosis index (HSI)</w:t>
            </w:r>
          </w:p>
        </w:tc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8.65 (95% CI 8.13 to 9.19)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37240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Abdominal obesity</w:t>
            </w:r>
          </w:p>
        </w:tc>
        <w:tc>
          <w:tcPr>
            <w:tcW w:type="dxa" w:w="2160"/>
          </w:tcPr>
          <w:p>
            <w:r>
              <w:t>Abdominal obesity</w:t>
            </w:r>
          </w:p>
        </w:tc>
      </w:tr>
      <w:tr>
        <w:tc>
          <w:tcPr>
            <w:tcW w:type="dxa" w:w="2160"/>
          </w:tcPr>
          <w:p>
            <w:r>
              <w:t>Hepatic steatosis index (HSI) (exposure)</w:t>
            </w:r>
          </w:p>
        </w:tc>
        <w:tc>
          <w:tcPr>
            <w:tcW w:type="dxa" w:w="2160"/>
          </w:tcPr>
          <w:p>
            <w:r>
              <w:t>32.9</w:t>
            </w:r>
          </w:p>
        </w:tc>
        <w:tc>
          <w:tcPr>
            <w:tcW w:type="dxa" w:w="2160"/>
          </w:tcPr>
          <w:p>
            <w:r>
              <w:t>30.7</w:t>
            </w:r>
          </w:p>
        </w:tc>
        <w:tc>
          <w:tcPr>
            <w:tcW w:type="dxa" w:w="2160"/>
          </w:tcPr>
          <w:p>
            <w:r>
              <w:t>38.0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51.9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49.8%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54.9%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91.1%</w:t>
            </w:r>
          </w:p>
        </w:tc>
        <w:tc>
          <w:tcPr>
            <w:tcW w:type="dxa" w:w="2160"/>
          </w:tcPr>
          <w:p>
            <w:r>
              <w:t>88.1%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