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LDL cholesterol, mg/dL and Abdominal obesity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LDL cholesterol, mg/dL was positively associated with Abdominal obesity (odds ratio per 1-SD 1.13 (95% CI 1.08 to 1.18), false discovery rate q &lt;0.001) among 37240 adults aged 20 years or older (a weighted Abdominal obesity prevalence of 29.9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Abdominal obesity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1.13 (95% CI 1.08 to 1.18)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37240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Abdominal obesity</w:t>
            </w:r>
          </w:p>
        </w:tc>
        <w:tc>
          <w:tcPr>
            <w:tcW w:type="dxa" w:w="2160"/>
          </w:tcPr>
          <w:p>
            <w:r>
              <w:t>Abdominal obesity</w:t>
            </w:r>
          </w:p>
        </w:tc>
      </w:tr>
      <w:tr>
        <w:tc>
          <w:tcPr>
            <w:tcW w:type="dxa" w:w="2160"/>
          </w:tcPr>
          <w:p>
            <w:r>
              <w:t>LDL cholesterol, mg/dL (exposure)</w:t>
            </w:r>
          </w:p>
        </w:tc>
        <w:tc>
          <w:tcPr>
            <w:tcW w:type="dxa" w:w="2160"/>
          </w:tcPr>
          <w:p>
            <w:r>
              <w:t>115.4</w:t>
            </w:r>
          </w:p>
        </w:tc>
        <w:tc>
          <w:tcPr>
            <w:tcW w:type="dxa" w:w="2160"/>
          </w:tcPr>
          <w:p>
            <w:r>
              <w:t>114.1</w:t>
            </w:r>
          </w:p>
        </w:tc>
        <w:tc>
          <w:tcPr>
            <w:tcW w:type="dxa" w:w="2160"/>
          </w:tcPr>
          <w:p>
            <w:r>
              <w:t>117.7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51.9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49.8%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  <w:tc>
          <w:tcPr>
            <w:tcW w:type="dxa" w:w="2160"/>
          </w:tcPr>
          <w:p>
            <w:r>
              <w:t>54.9%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49.6%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91.1%</w:t>
            </w:r>
          </w:p>
        </w:tc>
        <w:tc>
          <w:tcPr>
            <w:tcW w:type="dxa" w:w="2160"/>
          </w:tcPr>
          <w:p>
            <w:r>
              <w:t>88.1%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