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Abdominal obesity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positively associated with Abdominal obesity (odds ratio per 1-SD 1.21 (95% CI 1.18 to 1.25), false discovery rate q &lt;0.001) among 37240 adults aged 20 years or older (a weighted Abdominal obesity prevalence of 29.9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1.21 (95% CI 1.18 to 1.25)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258.1</w:t>
            </w:r>
          </w:p>
        </w:tc>
        <w:tc>
          <w:tcPr>
            <w:tcW w:type="dxa" w:w="2160"/>
          </w:tcPr>
          <w:p>
            <w:r>
              <w:t>256.5</w:t>
            </w:r>
          </w:p>
        </w:tc>
        <w:tc>
          <w:tcPr>
            <w:tcW w:type="dxa" w:w="2160"/>
          </w:tcPr>
          <w:p>
            <w:r>
              <w:t>261.7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51.9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