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Abdominal obesity (odds ratio 1.55 (95% CI 1.46 to 1.65),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1.55 (95% CI 1.46 to 1.65)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32.3%</w:t>
            </w:r>
          </w:p>
        </w:tc>
        <w:tc>
          <w:tcPr>
            <w:tcW w:type="dxa" w:w="2160"/>
          </w:tcPr>
          <w:p>
            <w:r>
              <w:t>28.2%</w:t>
            </w:r>
          </w:p>
        </w:tc>
        <w:tc>
          <w:tcPr>
            <w:tcW w:type="dxa" w:w="2160"/>
          </w:tcPr>
          <w:p>
            <w:r>
              <w:t>41.9%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