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Abdominal obesity (odds ratio per 1-SD 1.17 (95% CI 1.14 to 1.21), false discovery rate q &lt;0.001)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1.17 (95% CI 1.14 to 1.21)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Total cholesterol, mg/dL (exposure)</w:t>
            </w:r>
          </w:p>
        </w:tc>
        <w:tc>
          <w:tcPr>
            <w:tcW w:type="dxa" w:w="2160"/>
          </w:tcPr>
          <w:p>
            <w:r>
              <w:t>189.6</w:t>
            </w:r>
          </w:p>
        </w:tc>
        <w:tc>
          <w:tcPr>
            <w:tcW w:type="dxa" w:w="2160"/>
          </w:tcPr>
          <w:p>
            <w:r>
              <w:t>187.8</w:t>
            </w:r>
          </w:p>
        </w:tc>
        <w:tc>
          <w:tcPr>
            <w:tcW w:type="dxa" w:w="2160"/>
          </w:tcPr>
          <w:p>
            <w:r>
              <w:t>193.9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