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Abdominal obesity (odds ratio 1.04 (95% CI 0.92 to 1.16), false discovery rate q 0.596)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0.92 to 1.16)</w:t>
            </w:r>
          </w:p>
        </w:tc>
        <w:tc>
          <w:tcPr>
            <w:tcW w:type="dxa" w:w="1234"/>
          </w:tcPr>
          <w:p>
            <w:r>
              <w:t>0.548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71.2%</w:t>
            </w:r>
          </w:p>
        </w:tc>
        <w:tc>
          <w:tcPr>
            <w:tcW w:type="dxa" w:w="2160"/>
          </w:tcPr>
          <w:p>
            <w:r>
              <w:t>68.0%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