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inversely associated with Advanced liver fibrosis (FIB-4&gt;2.67) (odds ratio 0.82 (95% CI 0.71 to 0.96), false discovery rate q 0.020) among 34384 adults aged 20 years or older (a weighted Advanced liver fibrosis (FIB-4&gt;2.67) prevalence of 2.5 percent, survey-weighted). Confounders: Age, years, Male sex,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0.82 (95% CI 0.71 to 0.96)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0.020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30.0%</w:t>
            </w:r>
          </w:p>
        </w:tc>
        <w:tc>
          <w:tcPr>
            <w:tcW w:type="dxa" w:w="2160"/>
          </w:tcPr>
          <w:p>
            <w:r>
              <w:t>29.8%</w:t>
            </w:r>
          </w:p>
        </w:tc>
        <w:tc>
          <w:tcPr>
            <w:tcW w:type="dxa" w:w="2160"/>
          </w:tcPr>
          <w:p>
            <w:r>
              <w:t>36.6%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