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inversely associated with Advanced liver fibrosis (FIB-4&gt;2.67) (odds ratio per 1-SD 0.88 (95% CI 0.60 to 1.29), false discovery rate q 0.562) among 34384 adults aged 20 years or older (a weighted Advanced liver fibrosis (FIB-4&gt;2.67) prevalence of 2.5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0.88 (95% CI 0.60 to 1.29)</w:t>
            </w:r>
          </w:p>
        </w:tc>
        <w:tc>
          <w:tcPr>
            <w:tcW w:type="dxa" w:w="1234"/>
          </w:tcPr>
          <w:p>
            <w:r>
              <w:t>0.515</w:t>
            </w:r>
          </w:p>
        </w:tc>
        <w:tc>
          <w:tcPr>
            <w:tcW w:type="dxa" w:w="1234"/>
          </w:tcPr>
          <w:p>
            <w:r>
              <w:t>0.562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19.6</w:t>
            </w:r>
          </w:p>
        </w:tc>
        <w:tc>
          <w:tcPr>
            <w:tcW w:type="dxa" w:w="2160"/>
          </w:tcPr>
          <w:p>
            <w:r>
              <w:t>19.6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