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Diabetes mellitus and Advanced liver fibrosis (FIB-4&gt;2.67)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Diabetes mellitus was positively associated with Advanced liver fibrosis (FIB-4&gt;2.67) (odds ratio 1.13 (95% CI 0.96 to 1.34), false discovery rate q 0.181) among 34384 adults aged 20 years or older (a weighted Advanced liver fibrosis (FIB-4&gt;2.67) prevalence of 2.5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alcohol, smoking and diabetes.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1.13 (95% CI 0.96 to 1.34)</w:t>
            </w:r>
          </w:p>
        </w:tc>
        <w:tc>
          <w:tcPr>
            <w:tcW w:type="dxa" w:w="1234"/>
          </w:tcPr>
          <w:p>
            <w:r>
              <w:t>0.148</w:t>
            </w:r>
          </w:p>
        </w:tc>
        <w:tc>
          <w:tcPr>
            <w:tcW w:type="dxa" w:w="1234"/>
          </w:tcPr>
          <w:p>
            <w:r>
              <w:t>0.181</w:t>
            </w:r>
          </w:p>
        </w:tc>
        <w:tc>
          <w:tcPr>
            <w:tcW w:type="dxa" w:w="1234"/>
          </w:tcPr>
          <w:p>
            <w:r>
              <w:t>34384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Advanced liver fibrosis (FIB-4&gt;2.67)</w:t>
            </w:r>
          </w:p>
        </w:tc>
        <w:tc>
          <w:tcPr>
            <w:tcW w:type="dxa" w:w="2160"/>
          </w:tcPr>
          <w:p>
            <w:r>
              <w:t>Advanced liver fibrosis (FIB-4&gt;2.67)</w:t>
            </w:r>
          </w:p>
        </w:tc>
      </w:tr>
      <w:tr>
        <w:tc>
          <w:tcPr>
            <w:tcW w:type="dxa" w:w="2160"/>
          </w:tcPr>
          <w:p>
            <w:r>
              <w:t>Diabetes mellitus (exposure)</w:t>
            </w:r>
          </w:p>
        </w:tc>
        <w:tc>
          <w:tcPr>
            <w:tcW w:type="dxa" w:w="2160"/>
          </w:tcPr>
          <w:p>
            <w:r>
              <w:t>11.6%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  <w:tc>
          <w:tcPr>
            <w:tcW w:type="dxa" w:w="2160"/>
          </w:tcPr>
          <w:p>
            <w:r>
              <w:t>26.5%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46.8</w:t>
            </w:r>
          </w:p>
        </w:tc>
        <w:tc>
          <w:tcPr>
            <w:tcW w:type="dxa" w:w="2160"/>
          </w:tcPr>
          <w:p>
            <w:r>
              <w:t>68.6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56.4%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91.1%</w:t>
            </w:r>
          </w:p>
        </w:tc>
        <w:tc>
          <w:tcPr>
            <w:tcW w:type="dxa" w:w="2160"/>
          </w:tcPr>
          <w:p>
            <w:r>
              <w:t>80.9%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11.6%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  <w:tc>
          <w:tcPr>
            <w:tcW w:type="dxa" w:w="2160"/>
          </w:tcPr>
          <w:p>
            <w:r>
              <w:t>26.5%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