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inversely associated with Advanced liver fibrosis (FIB-4&gt;2.67) (odds ratio per 1-SD 0.96 (95% CI 0.89 to 1.05), false discovery rate q 0.427)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0.89 to 1.05)</w:t>
            </w:r>
          </w:p>
        </w:tc>
        <w:tc>
          <w:tcPr>
            <w:tcW w:type="dxa" w:w="1234"/>
          </w:tcPr>
          <w:p>
            <w:r>
              <w:t>0.376</w:t>
            </w:r>
          </w:p>
        </w:tc>
        <w:tc>
          <w:tcPr>
            <w:tcW w:type="dxa" w:w="1234"/>
          </w:tcPr>
          <w:p>
            <w:r>
              <w:t>0.427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75.8</w:t>
            </w:r>
          </w:p>
        </w:tc>
        <w:tc>
          <w:tcPr>
            <w:tcW w:type="dxa" w:w="2160"/>
          </w:tcPr>
          <w:p>
            <w:r>
              <w:t>73.9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