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Advanced liver fibrosis (FIB-4&gt;2.67) (odds ratio per 1-SD 0.96 (95% CI 0.88 to 1.06), false discovery rate q 0.502) among 34384 adults aged 20 years or older (a weighted Advanced liver fibrosis (FIB-4&gt;2.67) prevalence of 2.5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0.88 to 1.06)</w:t>
            </w:r>
          </w:p>
        </w:tc>
        <w:tc>
          <w:tcPr>
            <w:tcW w:type="dxa" w:w="1234"/>
          </w:tcPr>
          <w:p>
            <w:r>
              <w:t>0.453</w:t>
            </w:r>
          </w:p>
        </w:tc>
        <w:tc>
          <w:tcPr>
            <w:tcW w:type="dxa" w:w="1234"/>
          </w:tcPr>
          <w:p>
            <w:r>
              <w:t>0.502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100.9</w:t>
            </w:r>
          </w:p>
        </w:tc>
        <w:tc>
          <w:tcPr>
            <w:tcW w:type="dxa" w:w="2160"/>
          </w:tcPr>
          <w:p>
            <w:r>
              <w:t>101.4</w:t>
            </w:r>
          </w:p>
        </w:tc>
        <w:tc>
          <w:tcPr>
            <w:tcW w:type="dxa" w:w="2160"/>
          </w:tcPr>
          <w:p>
            <w:r>
              <w:t>84.7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