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positively associated with Advanced liver fibrosis (FIB-4&gt;2.67) (odds ratio 1.06 (95% CI 0.87 to 1.29), false discovery rate q 0.590) among 34384 adults aged 20 years or older (a weighted Advanced liver fibrosis (FIB-4&gt;2.67) prevalence of 2.5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0.87 to 1.29)</w:t>
            </w:r>
          </w:p>
        </w:tc>
        <w:tc>
          <w:tcPr>
            <w:tcW w:type="dxa" w:w="1234"/>
          </w:tcPr>
          <w:p>
            <w:r>
              <w:t>0.543</w:t>
            </w:r>
          </w:p>
        </w:tc>
        <w:tc>
          <w:tcPr>
            <w:tcW w:type="dxa" w:w="1234"/>
          </w:tcPr>
          <w:p>
            <w:r>
              <w:t>0.590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