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Advanced liver fibrosis (FIB-4&gt;2.67) (odds ratio per 1-SD of log 1.04 (95% CI 0.93 to 1.17), false discovery rate q 0.528) among 34384 adults aged 20 years or older (a weighted Advanced liver fibrosis (FIB-4&gt;2.67) prevalence of 2.5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0.93 to 1.17)</w:t>
            </w:r>
          </w:p>
        </w:tc>
        <w:tc>
          <w:tcPr>
            <w:tcW w:type="dxa" w:w="1234"/>
          </w:tcPr>
          <w:p>
            <w:r>
              <w:t>0.479</w:t>
            </w:r>
          </w:p>
        </w:tc>
        <w:tc>
          <w:tcPr>
            <w:tcW w:type="dxa" w:w="1234"/>
          </w:tcPr>
          <w:p>
            <w:r>
              <w:t>0.528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9.6</w:t>
            </w:r>
          </w:p>
        </w:tc>
        <w:tc>
          <w:tcPr>
            <w:tcW w:type="dxa" w:w="2160"/>
          </w:tcPr>
          <w:p>
            <w:r>
              <w:t>9.6</w:t>
            </w:r>
          </w:p>
        </w:tc>
        <w:tc>
          <w:tcPr>
            <w:tcW w:type="dxa" w:w="2160"/>
          </w:tcPr>
          <w:p>
            <w:r>
              <w:t>10.2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