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inversely associated with Advanced liver fibrosis (FIB-4&gt;2.67) (odds ratio per 1-SD 0.95 (95% CI 0.84 to 1.07), false discovery rate q 0.457) among 34384 adults aged 20 years or older (a weighted Advanced liver fibrosis (FIB-4&gt;2.67) prevalence of 2.5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0.84 to 1.07)</w:t>
            </w:r>
          </w:p>
        </w:tc>
        <w:tc>
          <w:tcPr>
            <w:tcW w:type="dxa" w:w="1234"/>
          </w:tcPr>
          <w:p>
            <w:r>
              <w:t>0.407</w:t>
            </w:r>
          </w:p>
        </w:tc>
        <w:tc>
          <w:tcPr>
            <w:tcW w:type="dxa" w:w="1234"/>
          </w:tcPr>
          <w:p>
            <w:r>
              <w:t>0.457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