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inversely associated with Advanced liver fibrosis (FIB-4&gt;2.67) (odds ratio 0.89 (95% CI 0.58 to 1.36), false discovery rate q 0.622)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0.58 to 1.36)</w:t>
            </w:r>
          </w:p>
        </w:tc>
        <w:tc>
          <w:tcPr>
            <w:tcW w:type="dxa" w:w="1234"/>
          </w:tcPr>
          <w:p>
            <w:r>
              <w:t>0.576</w:t>
            </w:r>
          </w:p>
        </w:tc>
        <w:tc>
          <w:tcPr>
            <w:tcW w:type="dxa" w:w="1234"/>
          </w:tcPr>
          <w:p>
            <w:r>
              <w:t>0.622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34.4%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