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Advanced liver fibrosis (FIB-4&gt;2.67) (odds ratio 1.19 (95% CI 0.93 to 1.54), false discovery rate q 0.203) among 34384 adults aged 20 years or older (a weighted Advanced liver fibrosis (FIB-4&gt;2.67) prevalence of 2.5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0.93 to 1.54)</w:t>
            </w:r>
          </w:p>
        </w:tc>
        <w:tc>
          <w:tcPr>
            <w:tcW w:type="dxa" w:w="1234"/>
          </w:tcPr>
          <w:p>
            <w:r>
              <w:t>0.168</w:t>
            </w:r>
          </w:p>
        </w:tc>
        <w:tc>
          <w:tcPr>
            <w:tcW w:type="dxa" w:w="1234"/>
          </w:tcPr>
          <w:p>
            <w:r>
              <w:t>0.203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30.6%</w:t>
            </w:r>
          </w:p>
        </w:tc>
        <w:tc>
          <w:tcPr>
            <w:tcW w:type="dxa" w:w="2160"/>
          </w:tcPr>
          <w:p>
            <w:r>
              <w:t>30.5%</w:t>
            </w:r>
          </w:p>
        </w:tc>
        <w:tc>
          <w:tcPr>
            <w:tcW w:type="dxa" w:w="2160"/>
          </w:tcPr>
          <w:p>
            <w:r>
              <w:t>35.1%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