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Advanced liver fibrosis (FIB-4&gt;2.67)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Lumbar spine BMD, g/cm2 was inversely associated with Advanced liver fibrosis (FIB-4&gt;2.67) (odds ratio per 1-SD 0.76 (95% CI 0.59 to 0.99), false discovery rate q 0.054) among 34384 adults aged 20 years or older (a weighted Advanced liver fibrosis (FIB-4&gt;2.67) prevalence of 2.5 percent, survey-weighted). Confounders: Age, years, Male sex, Body mass index, kg/m2, Ever alcohol (past/current), Ever smoking (past/current), Diabetes mellitus.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Body mass index, kg/m2, Ever alcohol (past/current), Ever smoking (past/current), Diabetes mellitus.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0.76 (95% CI 0.59 to 0.99)</w:t>
            </w:r>
          </w:p>
        </w:tc>
        <w:tc>
          <w:tcPr>
            <w:tcW w:type="dxa" w:w="1234"/>
          </w:tcPr>
          <w:p>
            <w:r>
              <w:t>0.040</w:t>
            </w:r>
          </w:p>
        </w:tc>
        <w:tc>
          <w:tcPr>
            <w:tcW w:type="dxa" w:w="1234"/>
          </w:tcPr>
          <w:p>
            <w:r>
              <w:t>0.054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Lumbar spine BMD, g/cm2 (exposure)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11.6%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26.5%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