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inversely associated with Advanced liver fibrosis (FIB-4&gt;2.67) (odds ratio 0.80 (95% CI 0.68 to 0.93), false discovery rate q 0.008)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0.68 to 0.93)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35.3%</w:t>
            </w:r>
          </w:p>
        </w:tc>
        <w:tc>
          <w:tcPr>
            <w:tcW w:type="dxa" w:w="2160"/>
          </w:tcPr>
          <w:p>
            <w:r>
              <w:t>35.4%</w:t>
            </w:r>
          </w:p>
        </w:tc>
        <w:tc>
          <w:tcPr>
            <w:tcW w:type="dxa" w:w="2160"/>
          </w:tcPr>
          <w:p>
            <w:r>
              <w:t>31.4%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