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inversely associated with Advanced liver fibrosis (FIB-4&gt;2.67) (odds ratio 0.75 (95% CI 0.65 to 0.87), false discovery rate q &lt;0.001)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0.75 (95% CI 0.65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58.3%</w:t>
            </w:r>
          </w:p>
        </w:tc>
        <w:tc>
          <w:tcPr>
            <w:tcW w:type="dxa" w:w="2160"/>
          </w:tcPr>
          <w:p>
            <w:r>
              <w:t>58.4%</w:t>
            </w:r>
          </w:p>
        </w:tc>
        <w:tc>
          <w:tcPr>
            <w:tcW w:type="dxa" w:w="2160"/>
          </w:tcPr>
          <w:p>
            <w:r>
              <w:t>55.3%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