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inversely associated with Advanced liver fibrosis (FIB-4&gt;2.67) (odds ratio 0.79 (95% CI 0.68 to 0.91), false discovery rate q 0.002) among 34384 adults aged 20 years or older (a weighted Advanced liver fibrosis (FIB-4&gt;2.67) prevalence of 2.5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0.79 (95% CI 0.68 to 0.91)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33.5%</w:t>
            </w:r>
          </w:p>
        </w:tc>
        <w:tc>
          <w:tcPr>
            <w:tcW w:type="dxa" w:w="2160"/>
          </w:tcPr>
          <w:p>
            <w:r>
              <w:t>33.4%</w:t>
            </w:r>
          </w:p>
        </w:tc>
        <w:tc>
          <w:tcPr>
            <w:tcW w:type="dxa" w:w="2160"/>
          </w:tcPr>
          <w:p>
            <w:r>
              <w:t>37.0%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