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Advanced liver fibrosis (FIB-4&gt;2.67) (odds ratio per 1-SD 1.04 (95% CI 0.96 to 1.13), false discovery rate q 0.342)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0.96 to 1.13)</w:t>
            </w:r>
          </w:p>
        </w:tc>
        <w:tc>
          <w:tcPr>
            <w:tcW w:type="dxa" w:w="1234"/>
          </w:tcPr>
          <w:p>
            <w:r>
              <w:t>0.295</w:t>
            </w:r>
          </w:p>
        </w:tc>
        <w:tc>
          <w:tcPr>
            <w:tcW w:type="dxa" w:w="1234"/>
          </w:tcPr>
          <w:p>
            <w:r>
              <w:t>0.342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117.9</w:t>
            </w:r>
          </w:p>
        </w:tc>
        <w:tc>
          <w:tcPr>
            <w:tcW w:type="dxa" w:w="2160"/>
          </w:tcPr>
          <w:p>
            <w:r>
              <w:t>117.6</w:t>
            </w:r>
          </w:p>
        </w:tc>
        <w:tc>
          <w:tcPr>
            <w:tcW w:type="dxa" w:w="2160"/>
          </w:tcPr>
          <w:p>
            <w:r>
              <w:t>127.1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