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inversely associated with Advanced liver fibrosis (FIB-4&gt;2.67) (odds ratio per 1-SD 0.97 (95% CI 0.67 to 1.40), false discovery rate q 0.897) among 34384 adults aged 20 years or older (a weighted Advanced liver fibrosis (FIB-4&gt;2.67) prevalence of 2.5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0.67 to 1.40)</w:t>
            </w:r>
          </w:p>
        </w:tc>
        <w:tc>
          <w:tcPr>
            <w:tcW w:type="dxa" w:w="1234"/>
          </w:tcPr>
          <w:p>
            <w:r>
              <w:t>0.878</w:t>
            </w:r>
          </w:p>
        </w:tc>
        <w:tc>
          <w:tcPr>
            <w:tcW w:type="dxa" w:w="1234"/>
          </w:tcPr>
          <w:p>
            <w:r>
              <w:t>0.897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45.8</w:t>
            </w:r>
          </w:p>
        </w:tc>
        <w:tc>
          <w:tcPr>
            <w:tcW w:type="dxa" w:w="2160"/>
          </w:tcPr>
          <w:p>
            <w:r>
              <w:t>45.8</w:t>
            </w:r>
          </w:p>
        </w:tc>
        <w:tc>
          <w:tcPr>
            <w:tcW w:type="dxa" w:w="2160"/>
          </w:tcPr>
          <w:p>
            <w:r>
              <w:t>45.1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