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Advanced liver fibrosis (FIB-4&gt;2.67) (odds ratio per 1-SD 1.05 (95% CI 0.97 to 1.14), false discovery rate q 0.245)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0.97 to 1.14)</w:t>
            </w:r>
          </w:p>
        </w:tc>
        <w:tc>
          <w:tcPr>
            <w:tcW w:type="dxa" w:w="1234"/>
          </w:tcPr>
          <w:p>
            <w:r>
              <w:t>0.206</w:t>
            </w:r>
          </w:p>
        </w:tc>
        <w:tc>
          <w:tcPr>
            <w:tcW w:type="dxa" w:w="1234"/>
          </w:tcPr>
          <w:p>
            <w:r>
              <w:t>0.245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136.2</w:t>
            </w:r>
          </w:p>
        </w:tc>
        <w:tc>
          <w:tcPr>
            <w:tcW w:type="dxa" w:w="2160"/>
          </w:tcPr>
          <w:p>
            <w:r>
              <w:t>136.1</w:t>
            </w:r>
          </w:p>
        </w:tc>
        <w:tc>
          <w:tcPr>
            <w:tcW w:type="dxa" w:w="2160"/>
          </w:tcPr>
          <w:p>
            <w:r>
              <w:t>139.2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