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inversely associated with Advanced liver fibrosis (FIB-4&gt;2.67) (odds ratio per 1-SD 0.83 (95% CI 0.74 to 0.93), false discovery rate q 0.002) among 34384 adults aged 20 years or older (a weighted Advanced liver fibrosis (FIB-4&gt;2.67) prevalence of 2.5 percent, survey-weighted). Confounders: Age, years, Male sex,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0.83 (95% CI 0.74 to 0.93)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65.4</w:t>
            </w:r>
          </w:p>
        </w:tc>
        <w:tc>
          <w:tcPr>
            <w:tcW w:type="dxa" w:w="2160"/>
          </w:tcPr>
          <w:p>
            <w:r>
              <w:t>65.5</w:t>
            </w:r>
          </w:p>
        </w:tc>
        <w:tc>
          <w:tcPr>
            <w:tcW w:type="dxa" w:w="2160"/>
          </w:tcPr>
          <w:p>
            <w:r>
              <w:t>61.2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