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Age, years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Body mass index, kg/m2 was positively associated with Age, years (beta coefficient per 1-SD 1.31 (95% CI 1.09 to 1.53), false discovery rate q &lt;0.001) among 37636 adults aged 20 years or older (survey-weighted). Confounders: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1.31 (95% CI 1.09 to 1.53)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37636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mass index, kg/m2 (exposure)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