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index (HSI) and Age, years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Hepatic steatosis index (HSI) was inversely associated with Age, years (beta coefficient per 1-SD -2.99 (95% CI -3.38 to -2.61), false discovery rate q &lt;0.001) among 37636 adults aged 20 years or older (survey-weighted). Confounders: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 index (HSI)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-2.99 (95% CI -3.38 to -2.61)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37636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Hepatic steatosis index (HSI) (exposure)</w:t>
            </w:r>
          </w:p>
        </w:tc>
        <w:tc>
          <w:tcPr>
            <w:tcW w:type="dxa" w:w="4320"/>
          </w:tcPr>
          <w:p>
            <w:r>
              <w:t>32.9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