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Hepatic steatosis and Age, years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Hepatic steatosis was inversely associated with Age, years (beta coefficient -4.30 (95% CI -4.89 to -3.71), false discovery rate q &lt;0.001) among 37636 adults aged 20 years or older (survey-weighted). Confounders: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Hepatic steatosis</w:t>
            </w:r>
          </w:p>
        </w:tc>
        <w:tc>
          <w:tcPr>
            <w:tcW w:type="dxa" w:w="1234"/>
          </w:tcPr>
          <w:p>
            <w:r>
              <w:t>Age, years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-4.30 (95% CI -4.89 to -3.71)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37636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Hepatic steatosis (exposure)</w:t>
            </w:r>
          </w:p>
        </w:tc>
        <w:tc>
          <w:tcPr>
            <w:tcW w:type="dxa" w:w="4320"/>
          </w:tcPr>
          <w:p>
            <w:r>
              <w:t>24.5%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44.7%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90.2%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