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Waist-to-height ratio and Age, years</w:t>
      </w:r>
    </w:p>
    <w:p>
      <w:r>
        <w:t>KNHANES · Korea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Korea National Health and Nutrition Examination Survey, Waist-to-height ratio was positively associated with Age, years (beta coefficient per 1-SD 6.18 (95% CI 5.96 to 6.39), false discovery rate q &lt;0.001) among 37636 adults aged 20 years or older (survey-weighted). Confounders: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Waist-to-height ratio</w:t>
            </w:r>
          </w:p>
        </w:tc>
        <w:tc>
          <w:tcPr>
            <w:tcW w:type="dxa" w:w="1234"/>
          </w:tcPr>
          <w:p>
            <w:r>
              <w:t>Age, years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6.18 (95% CI 5.96 to 6.39)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37636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Waist-to-height ratio (exposure)</w:t>
            </w:r>
          </w:p>
        </w:tc>
        <w:tc>
          <w:tcPr>
            <w:tcW w:type="dxa" w:w="4320"/>
          </w:tcPr>
          <w:p>
            <w:r>
              <w:t>0.5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49.8%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44.7%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90.2%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24.0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