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Alanine aminotransferase, IU/L and Anemia (WHO)</w:t>
      </w:r>
    </w:p>
    <w:p>
      <w:r>
        <w:t>KNHANES · Korea National Health and Nutrition Examination Survey · association analysis · logistic OR</w:t>
      </w:r>
    </w:p>
    <w:p>
      <w:pPr>
        <w:pStyle w:val="Heading1"/>
      </w:pPr>
      <w:r>
        <w:t>Abstract</w:t>
      </w:r>
    </w:p>
    <w:p>
      <w:r>
        <w:t>In the Korea National Health and Nutrition Examination Survey, Alanine aminotransferase, IU/L was inversely associated with Anemia (WHO) (odds ratio per 1-SD 0.50 (95% CI 0.42 to 0.60), false discovery rate q &lt;0.001) among 35736 adults aged 20 years or older (a weighted Anemia (WHO) prevalence of 8.5 percent, 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logistic regression. Adjusted for age, sex, smoking and alcohol.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Alanine aminotransferase, IU/L</w:t>
            </w:r>
          </w:p>
        </w:tc>
        <w:tc>
          <w:tcPr>
            <w:tcW w:type="dxa" w:w="1234"/>
          </w:tcPr>
          <w:p>
            <w:r>
              <w:t>Anemia (WHO)</w:t>
            </w:r>
          </w:p>
        </w:tc>
        <w:tc>
          <w:tcPr>
            <w:tcW w:type="dxa" w:w="1234"/>
          </w:tcPr>
          <w:p>
            <w:r>
              <w:t>OR</w:t>
            </w:r>
          </w:p>
        </w:tc>
        <w:tc>
          <w:tcPr>
            <w:tcW w:type="dxa" w:w="1234"/>
          </w:tcPr>
          <w:p>
            <w:r>
              <w:t>0.50 (95% CI 0.42 to 0.60)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&lt;0.001</w:t>
            </w:r>
          </w:p>
        </w:tc>
        <w:tc>
          <w:tcPr>
            <w:tcW w:type="dxa" w:w="1234"/>
          </w:tcPr>
          <w:p>
            <w:r>
              <w:t>35736</w:t>
            </w:r>
          </w:p>
        </w:tc>
      </w:tr>
    </w:tbl>
    <w:p>
      <w:pPr>
        <w:pStyle w:val="Heading1"/>
      </w:pPr>
      <w:r>
        <w:t>Descriptive (weighted) by outcome group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Variable</w:t>
            </w:r>
          </w:p>
        </w:tc>
        <w:tc>
          <w:tcPr>
            <w:tcW w:type="dxa" w:w="2160"/>
          </w:tcPr>
          <w:p>
            <w:r>
              <w:t>Overall</w:t>
            </w:r>
          </w:p>
        </w:tc>
        <w:tc>
          <w:tcPr>
            <w:tcW w:type="dxa" w:w="2160"/>
          </w:tcPr>
          <w:p>
            <w:r>
              <w:t>No Anemia (WHO)</w:t>
            </w:r>
          </w:p>
        </w:tc>
        <w:tc>
          <w:tcPr>
            <w:tcW w:type="dxa" w:w="2160"/>
          </w:tcPr>
          <w:p>
            <w:r>
              <w:t>Anemia (WHO)</w:t>
            </w:r>
          </w:p>
        </w:tc>
      </w:tr>
      <w:tr>
        <w:tc>
          <w:tcPr>
            <w:tcW w:type="dxa" w:w="2160"/>
          </w:tcPr>
          <w:p>
            <w:r>
              <w:t>Alanine aminotransferase, IU/L (exposure)</w:t>
            </w:r>
          </w:p>
        </w:tc>
        <w:tc>
          <w:tcPr>
            <w:tcW w:type="dxa" w:w="2160"/>
          </w:tcPr>
          <w:p>
            <w:r>
              <w:t>23.1</w:t>
            </w:r>
          </w:p>
        </w:tc>
        <w:tc>
          <w:tcPr>
            <w:tcW w:type="dxa" w:w="2160"/>
          </w:tcPr>
          <w:p>
            <w:r>
              <w:t>23.7</w:t>
            </w:r>
          </w:p>
        </w:tc>
        <w:tc>
          <w:tcPr>
            <w:tcW w:type="dxa" w:w="2160"/>
          </w:tcPr>
          <w:p>
            <w:r>
              <w:t>16.6</w:t>
            </w:r>
          </w:p>
        </w:tc>
      </w:tr>
      <w:tr>
        <w:tc>
          <w:tcPr>
            <w:tcW w:type="dxa" w:w="2160"/>
          </w:tcPr>
          <w:p>
            <w:r>
              <w:t>Age, years</w:t>
            </w:r>
          </w:p>
        </w:tc>
        <w:tc>
          <w:tcPr>
            <w:tcW w:type="dxa" w:w="2160"/>
          </w:tcPr>
          <w:p>
            <w:r>
              <w:t>47.2</w:t>
            </w:r>
          </w:p>
        </w:tc>
        <w:tc>
          <w:tcPr>
            <w:tcW w:type="dxa" w:w="2160"/>
          </w:tcPr>
          <w:p>
            <w:r>
              <w:t>46.7</w:t>
            </w:r>
          </w:p>
        </w:tc>
        <w:tc>
          <w:tcPr>
            <w:tcW w:type="dxa" w:w="2160"/>
          </w:tcPr>
          <w:p>
            <w:r>
              <w:t>52.3</w:t>
            </w:r>
          </w:p>
        </w:tc>
      </w:tr>
      <w:tr>
        <w:tc>
          <w:tcPr>
            <w:tcW w:type="dxa" w:w="2160"/>
          </w:tcPr>
          <w:p>
            <w:r>
              <w:t>Male sex</w:t>
            </w:r>
          </w:p>
        </w:tc>
        <w:tc>
          <w:tcPr>
            <w:tcW w:type="dxa" w:w="2160"/>
          </w:tcPr>
          <w:p>
            <w:r>
              <w:t>50.3%</w:t>
            </w:r>
          </w:p>
        </w:tc>
        <w:tc>
          <w:tcPr>
            <w:tcW w:type="dxa" w:w="2160"/>
          </w:tcPr>
          <w:p>
            <w:r>
              <w:t>53.0%</w:t>
            </w:r>
          </w:p>
        </w:tc>
        <w:tc>
          <w:tcPr>
            <w:tcW w:type="dxa" w:w="2160"/>
          </w:tcPr>
          <w:p>
            <w:r>
              <w:t>20.3%</w:t>
            </w:r>
          </w:p>
        </w:tc>
      </w:tr>
      <w:tr>
        <w:tc>
          <w:tcPr>
            <w:tcW w:type="dxa" w:w="2160"/>
          </w:tcPr>
          <w:p>
            <w:r>
              <w:t>Ever smoking (past/current)</w:t>
            </w:r>
          </w:p>
        </w:tc>
        <w:tc>
          <w:tcPr>
            <w:tcW w:type="dxa" w:w="2160"/>
          </w:tcPr>
          <w:p>
            <w:r>
              <w:t>44.9%</w:t>
            </w:r>
          </w:p>
        </w:tc>
        <w:tc>
          <w:tcPr>
            <w:tcW w:type="dxa" w:w="2160"/>
          </w:tcPr>
          <w:p>
            <w:r>
              <w:t>46.8%</w:t>
            </w:r>
          </w:p>
        </w:tc>
        <w:tc>
          <w:tcPr>
            <w:tcW w:type="dxa" w:w="2160"/>
          </w:tcPr>
          <w:p>
            <w:r>
              <w:t>24.5%</w:t>
            </w:r>
          </w:p>
        </w:tc>
      </w:tr>
      <w:tr>
        <w:tc>
          <w:tcPr>
            <w:tcW w:type="dxa" w:w="2160"/>
          </w:tcPr>
          <w:p>
            <w:r>
              <w:t>Ever alcohol (past/current)</w:t>
            </w:r>
          </w:p>
        </w:tc>
        <w:tc>
          <w:tcPr>
            <w:tcW w:type="dxa" w:w="2160"/>
          </w:tcPr>
          <w:p>
            <w:r>
              <w:t>90.6%</w:t>
            </w:r>
          </w:p>
        </w:tc>
        <w:tc>
          <w:tcPr>
            <w:tcW w:type="dxa" w:w="2160"/>
          </w:tcPr>
          <w:p>
            <w:r>
              <w:t>91.3%</w:t>
            </w:r>
          </w:p>
        </w:tc>
        <w:tc>
          <w:tcPr>
            <w:tcW w:type="dxa" w:w="2160"/>
          </w:tcPr>
          <w:p>
            <w:r>
              <w:t>83.4%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