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Elevated ALT (&gt;40 IU/L) and Anemia (WHO)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Elevated ALT (&gt;40 IU/L) was inversely associated with Anemia (WHO) (odds ratio 0.47 (95% CI 0.37 to 0.60), false discovery rate q &lt;0.001) among 35736 adults aged 20 years or older (a weighted Anemia (WHO) prevalence of 8.5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 and alcohol.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Elevated ALT (&gt;40 IU/L)</w:t>
            </w:r>
          </w:p>
        </w:tc>
        <w:tc>
          <w:tcPr>
            <w:tcW w:type="dxa" w:w="1234"/>
          </w:tcPr>
          <w:p>
            <w:r>
              <w:t>Anemia (WHO)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0.47 (95% CI 0.37 to 0.60)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35736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Anemia (WHO)</w:t>
            </w:r>
          </w:p>
        </w:tc>
        <w:tc>
          <w:tcPr>
            <w:tcW w:type="dxa" w:w="2160"/>
          </w:tcPr>
          <w:p>
            <w:r>
              <w:t>Anemia (WHO)</w:t>
            </w:r>
          </w:p>
        </w:tc>
      </w:tr>
      <w:tr>
        <w:tc>
          <w:tcPr>
            <w:tcW w:type="dxa" w:w="2160"/>
          </w:tcPr>
          <w:p>
            <w:r>
              <w:t>Elevated ALT (&gt;40 IU/L) (exposure)</w:t>
            </w:r>
          </w:p>
        </w:tc>
        <w:tc>
          <w:tcPr>
            <w:tcW w:type="dxa" w:w="2160"/>
          </w:tcPr>
          <w:p>
            <w:r>
              <w:t>9.6%</w:t>
            </w:r>
          </w:p>
        </w:tc>
        <w:tc>
          <w:tcPr>
            <w:tcW w:type="dxa" w:w="2160"/>
          </w:tcPr>
          <w:p>
            <w:r>
              <w:t>10.2%</w:t>
            </w:r>
          </w:p>
        </w:tc>
        <w:tc>
          <w:tcPr>
            <w:tcW w:type="dxa" w:w="2160"/>
          </w:tcPr>
          <w:p>
            <w:r>
              <w:t>3.2%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47.2</w:t>
            </w:r>
          </w:p>
        </w:tc>
        <w:tc>
          <w:tcPr>
            <w:tcW w:type="dxa" w:w="2160"/>
          </w:tcPr>
          <w:p>
            <w:r>
              <w:t>46.7</w:t>
            </w:r>
          </w:p>
        </w:tc>
        <w:tc>
          <w:tcPr>
            <w:tcW w:type="dxa" w:w="2160"/>
          </w:tcPr>
          <w:p>
            <w:r>
              <w:t>52.3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50.3%</w:t>
            </w:r>
          </w:p>
        </w:tc>
        <w:tc>
          <w:tcPr>
            <w:tcW w:type="dxa" w:w="2160"/>
          </w:tcPr>
          <w:p>
            <w:r>
              <w:t>53.0%</w:t>
            </w:r>
          </w:p>
        </w:tc>
        <w:tc>
          <w:tcPr>
            <w:tcW w:type="dxa" w:w="2160"/>
          </w:tcPr>
          <w:p>
            <w:r>
              <w:t>20.3%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44.9%</w:t>
            </w:r>
          </w:p>
        </w:tc>
        <w:tc>
          <w:tcPr>
            <w:tcW w:type="dxa" w:w="2160"/>
          </w:tcPr>
          <w:p>
            <w:r>
              <w:t>46.8%</w:t>
            </w:r>
          </w:p>
        </w:tc>
        <w:tc>
          <w:tcPr>
            <w:tcW w:type="dxa" w:w="2160"/>
          </w:tcPr>
          <w:p>
            <w:r>
              <w:t>24.5%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90.6%</w:t>
            </w:r>
          </w:p>
        </w:tc>
        <w:tc>
          <w:tcPr>
            <w:tcW w:type="dxa" w:w="2160"/>
          </w:tcPr>
          <w:p>
            <w:r>
              <w:t>91.3%</w:t>
            </w:r>
          </w:p>
        </w:tc>
        <w:tc>
          <w:tcPr>
            <w:tcW w:type="dxa" w:w="2160"/>
          </w:tcPr>
          <w:p>
            <w:r>
              <w:t>83.4%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